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12563" w:rsidRDefault="00423A8A">
      <w:pPr>
        <w:spacing w:line="200" w:lineRule="exact"/>
        <w:rPr>
          <w:rFonts w:ascii="Times New Roman" w:eastAsia="Times New Roman" w:hAnsi="Times New Roman"/>
          <w:sz w:val="24"/>
        </w:rPr>
      </w:pPr>
      <w:bookmarkStart w:id="0" w:name="page1"/>
      <w:bookmarkEnd w:id="0"/>
      <w:r>
        <w:rPr>
          <w:noProof/>
          <w:lang w:val="en-GB" w:eastAsia="en-GB"/>
        </w:rPr>
        <w:drawing>
          <wp:anchor distT="0" distB="0" distL="114300" distR="114300" simplePos="0" relativeHeight="251654656" behindDoc="1" locked="0" layoutInCell="1" allowOverlap="1">
            <wp:simplePos x="0" y="0"/>
            <wp:positionH relativeFrom="page">
              <wp:posOffset>914400</wp:posOffset>
            </wp:positionH>
            <wp:positionV relativeFrom="page">
              <wp:posOffset>914400</wp:posOffset>
            </wp:positionV>
            <wp:extent cx="762000"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pic:spPr>
                </pic:pic>
              </a:graphicData>
            </a:graphic>
            <wp14:sizeRelH relativeFrom="page">
              <wp14:pctWidth>0</wp14:pctWidth>
            </wp14:sizeRelH>
            <wp14:sizeRelV relativeFrom="page">
              <wp14:pctHeight>0</wp14:pctHeight>
            </wp14:sizeRelV>
          </wp:anchor>
        </w:drawing>
      </w: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34" w:lineRule="exact"/>
        <w:rPr>
          <w:rFonts w:ascii="Times New Roman" w:eastAsia="Times New Roman" w:hAnsi="Times New Roman"/>
          <w:sz w:val="24"/>
        </w:rPr>
      </w:pPr>
    </w:p>
    <w:p w:rsidR="00612563" w:rsidRDefault="00D77B8C">
      <w:pPr>
        <w:spacing w:line="0" w:lineRule="atLeast"/>
        <w:rPr>
          <w:rFonts w:ascii="Times New Roman" w:eastAsia="Times New Roman" w:hAnsi="Times New Roman"/>
          <w:b/>
          <w:sz w:val="36"/>
        </w:rPr>
      </w:pPr>
      <w:r>
        <w:rPr>
          <w:rFonts w:ascii="Times New Roman" w:eastAsia="Times New Roman" w:hAnsi="Times New Roman"/>
          <w:b/>
          <w:sz w:val="36"/>
        </w:rPr>
        <w:t xml:space="preserve">InterGenomics-Holstein </w:t>
      </w:r>
      <w:r w:rsidR="00DF7CAB">
        <w:rPr>
          <w:rFonts w:ascii="Times New Roman" w:eastAsia="Times New Roman" w:hAnsi="Times New Roman"/>
          <w:b/>
          <w:sz w:val="36"/>
        </w:rPr>
        <w:t>SERVICE CONTRACT</w:t>
      </w:r>
    </w:p>
    <w:p w:rsidR="00612563" w:rsidRDefault="00612563">
      <w:pPr>
        <w:spacing w:line="20" w:lineRule="exact"/>
        <w:rPr>
          <w:rFonts w:ascii="Times New Roman" w:eastAsia="Times New Roman" w:hAnsi="Times New Roman"/>
          <w:sz w:val="24"/>
        </w:rPr>
      </w:pPr>
    </w:p>
    <w:p w:rsidR="00612563" w:rsidRDefault="00612563">
      <w:pPr>
        <w:spacing w:line="264"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Between</w:t>
      </w:r>
    </w:p>
    <w:p w:rsidR="00612563" w:rsidRDefault="00612563">
      <w:pPr>
        <w:spacing w:line="286"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&lt;CUSTOMER&gt;, at &lt;ADDRESS&gt;;</w:t>
      </w:r>
    </w:p>
    <w:p w:rsidR="00612563" w:rsidRDefault="00612563">
      <w:pPr>
        <w:spacing w:line="281"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&lt;ICAR MEMBER&gt;, at &lt;ADDRESS&gt;; and</w:t>
      </w:r>
    </w:p>
    <w:p w:rsidR="00612563" w:rsidRDefault="00612563">
      <w:pPr>
        <w:spacing w:line="276" w:lineRule="exact"/>
        <w:rPr>
          <w:rFonts w:ascii="Times New Roman" w:eastAsia="Times New Roman" w:hAnsi="Times New Roman"/>
          <w:sz w:val="24"/>
        </w:rPr>
      </w:pPr>
    </w:p>
    <w:p w:rsidR="00612563" w:rsidRDefault="00DF7CAB">
      <w:pPr>
        <w:spacing w:line="277" w:lineRule="auto"/>
        <w:ind w:right="220"/>
        <w:rPr>
          <w:rFonts w:ascii="Times New Roman" w:eastAsia="Times New Roman" w:hAnsi="Times New Roman"/>
          <w:sz w:val="24"/>
        </w:rPr>
      </w:pPr>
      <w:r>
        <w:rPr>
          <w:rFonts w:ascii="Times New Roman" w:eastAsia="Times New Roman" w:hAnsi="Times New Roman"/>
          <w:sz w:val="24"/>
        </w:rPr>
        <w:t>INTERBULL CENTRE, Department of Animal Breeding and Genetics, Swedish University of Agricultural Science (SLU), at PO Box 7023, 750 07 Uppsala, Sweden.</w:t>
      </w: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349"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1</w:t>
      </w:r>
    </w:p>
    <w:p w:rsidR="00612563" w:rsidRDefault="00612563">
      <w:pPr>
        <w:spacing w:line="281" w:lineRule="exact"/>
        <w:rPr>
          <w:rFonts w:ascii="Times New Roman" w:eastAsia="Times New Roman" w:hAnsi="Times New Roman"/>
          <w:sz w:val="24"/>
        </w:rPr>
      </w:pPr>
    </w:p>
    <w:p w:rsidR="00612563" w:rsidRDefault="00DF7CAB">
      <w:pPr>
        <w:spacing w:line="277" w:lineRule="auto"/>
        <w:ind w:right="780"/>
        <w:rPr>
          <w:rFonts w:ascii="Times New Roman" w:eastAsia="Times New Roman" w:hAnsi="Times New Roman"/>
          <w:sz w:val="24"/>
        </w:rPr>
      </w:pPr>
      <w:r>
        <w:rPr>
          <w:rFonts w:ascii="Times New Roman" w:eastAsia="Times New Roman" w:hAnsi="Times New Roman"/>
          <w:sz w:val="24"/>
        </w:rPr>
        <w:t>The purpose of this contract is to establish the terms for service provision of international genomic (InterGenomics) evaluation for the Holstein breed.</w:t>
      </w: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349" w:lineRule="exact"/>
        <w:rPr>
          <w:rFonts w:ascii="Times New Roman" w:eastAsia="Times New Roman" w:hAnsi="Times New Roman"/>
          <w:sz w:val="24"/>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2</w:t>
      </w:r>
    </w:p>
    <w:p w:rsidR="00612563" w:rsidRDefault="00612563">
      <w:pPr>
        <w:spacing w:line="281" w:lineRule="exact"/>
        <w:rPr>
          <w:rFonts w:ascii="Times New Roman" w:eastAsia="Times New Roman" w:hAnsi="Times New Roman"/>
          <w:sz w:val="24"/>
        </w:rPr>
      </w:pPr>
    </w:p>
    <w:p w:rsidR="00612563" w:rsidRDefault="00DF7CAB">
      <w:pPr>
        <w:spacing w:line="257" w:lineRule="auto"/>
        <w:ind w:right="260"/>
        <w:jc w:val="both"/>
        <w:rPr>
          <w:rFonts w:ascii="Times New Roman" w:eastAsia="Times New Roman" w:hAnsi="Times New Roman"/>
          <w:sz w:val="24"/>
        </w:rPr>
      </w:pPr>
      <w:r>
        <w:rPr>
          <w:rFonts w:ascii="Times New Roman" w:eastAsia="Times New Roman" w:hAnsi="Times New Roman"/>
          <w:sz w:val="24"/>
        </w:rPr>
        <w:t>The &lt;CUSTOMER&gt; is the legal representative of the Holstein breeders within &lt;COUNTRY&gt; having the power to decide about usage of performance, pedigree and genomic data of all sorts on behalf of these breeders.</w:t>
      </w:r>
    </w:p>
    <w:p w:rsidR="00612563" w:rsidRDefault="00612563">
      <w:pPr>
        <w:spacing w:line="222" w:lineRule="exact"/>
        <w:rPr>
          <w:rFonts w:ascii="Times New Roman" w:eastAsia="Times New Roman" w:hAnsi="Times New Roman"/>
          <w:sz w:val="24"/>
        </w:rPr>
      </w:pPr>
    </w:p>
    <w:p w:rsidR="00612563" w:rsidRDefault="00DF7CAB">
      <w:pPr>
        <w:spacing w:line="257" w:lineRule="auto"/>
        <w:ind w:right="580"/>
        <w:rPr>
          <w:rFonts w:ascii="Times New Roman" w:eastAsia="Times New Roman" w:hAnsi="Times New Roman"/>
          <w:sz w:val="24"/>
        </w:rPr>
      </w:pPr>
      <w:r>
        <w:rPr>
          <w:rFonts w:ascii="Times New Roman" w:eastAsia="Times New Roman" w:hAnsi="Times New Roman"/>
          <w:sz w:val="24"/>
        </w:rPr>
        <w:t>The &lt;ICAR MEMBER&gt; is the organization that holds the status of full member at the International Committee for Animal Recording (ICAR) that represents the &lt;CUSTOMER&gt; before ICAR.</w:t>
      </w:r>
    </w:p>
    <w:p w:rsidR="00612563" w:rsidRDefault="00612563">
      <w:pPr>
        <w:spacing w:line="222" w:lineRule="exact"/>
        <w:rPr>
          <w:rFonts w:ascii="Times New Roman" w:eastAsia="Times New Roman" w:hAnsi="Times New Roman"/>
          <w:sz w:val="24"/>
        </w:rPr>
      </w:pPr>
    </w:p>
    <w:p w:rsidR="00612563" w:rsidRDefault="00DF7CAB">
      <w:pPr>
        <w:spacing w:line="248" w:lineRule="auto"/>
        <w:ind w:right="280"/>
        <w:rPr>
          <w:rFonts w:ascii="Times New Roman" w:eastAsia="Times New Roman" w:hAnsi="Times New Roman"/>
          <w:sz w:val="24"/>
        </w:rPr>
      </w:pPr>
      <w:r>
        <w:rPr>
          <w:rFonts w:ascii="Times New Roman" w:eastAsia="Times New Roman" w:hAnsi="Times New Roman"/>
          <w:sz w:val="24"/>
        </w:rPr>
        <w:t>The INTERBULL CENTRE is the operational unit of Interbull currently providing routine computations of international genetic evaluations of dairy bulls, under the responsibility of the ICAR Sub-Committee Interbull and its Steering Committee. The INTERBULL CENTRE is hosted by the Swedish University of Agricultural Sciences (SLU), Uppsala, Sweden, and operates according to a contract between ICAR and SLU under Swedish law.</w:t>
      </w: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200" w:lineRule="exact"/>
        <w:rPr>
          <w:rFonts w:ascii="Times New Roman" w:eastAsia="Times New Roman" w:hAnsi="Times New Roman"/>
          <w:sz w:val="24"/>
        </w:rPr>
      </w:pPr>
    </w:p>
    <w:p w:rsidR="00612563" w:rsidRDefault="00612563">
      <w:pPr>
        <w:spacing w:line="360" w:lineRule="exact"/>
        <w:rPr>
          <w:rFonts w:ascii="Times New Roman" w:eastAsia="Times New Roman" w:hAnsi="Times New Roman"/>
          <w:sz w:val="24"/>
        </w:rPr>
      </w:pPr>
    </w:p>
    <w:p w:rsidR="00612563" w:rsidRDefault="00DF7CAB">
      <w:pPr>
        <w:spacing w:line="0" w:lineRule="atLeast"/>
        <w:jc w:val="right"/>
        <w:rPr>
          <w:sz w:val="22"/>
        </w:rPr>
      </w:pPr>
      <w:r>
        <w:rPr>
          <w:sz w:val="22"/>
        </w:rPr>
        <w:t>1</w:t>
      </w:r>
    </w:p>
    <w:p w:rsidR="00612563" w:rsidRDefault="00612563">
      <w:pPr>
        <w:spacing w:line="0" w:lineRule="atLeast"/>
        <w:jc w:val="right"/>
        <w:rPr>
          <w:sz w:val="22"/>
        </w:rPr>
        <w:sectPr w:rsidR="00612563">
          <w:pgSz w:w="12240" w:h="15840"/>
          <w:pgMar w:top="1440" w:right="1440" w:bottom="171" w:left="1440" w:header="0" w:footer="0" w:gutter="0"/>
          <w:cols w:space="0" w:equalWidth="0">
            <w:col w:w="9360"/>
          </w:cols>
          <w:docGrid w:linePitch="360"/>
        </w:sectPr>
      </w:pPr>
    </w:p>
    <w:p w:rsidR="00612563" w:rsidRDefault="00DF7CAB">
      <w:pPr>
        <w:spacing w:line="0" w:lineRule="atLeast"/>
        <w:rPr>
          <w:rFonts w:ascii="Times New Roman" w:eastAsia="Times New Roman" w:hAnsi="Times New Roman"/>
          <w:b/>
          <w:sz w:val="27"/>
        </w:rPr>
      </w:pPr>
      <w:bookmarkStart w:id="1" w:name="page2"/>
      <w:bookmarkEnd w:id="1"/>
      <w:r>
        <w:rPr>
          <w:rFonts w:ascii="Times New Roman" w:eastAsia="Times New Roman" w:hAnsi="Times New Roman"/>
          <w:b/>
          <w:sz w:val="27"/>
        </w:rPr>
        <w:lastRenderedPageBreak/>
        <w:t>Article 3</w:t>
      </w:r>
    </w:p>
    <w:p w:rsidR="00612563" w:rsidRDefault="00612563">
      <w:pPr>
        <w:spacing w:line="281" w:lineRule="exact"/>
        <w:rPr>
          <w:rFonts w:ascii="Times New Roman" w:eastAsia="Times New Roman" w:hAnsi="Times New Roman"/>
        </w:rPr>
      </w:pPr>
    </w:p>
    <w:p w:rsidR="00612563" w:rsidRDefault="00DF7CAB">
      <w:pPr>
        <w:spacing w:line="277" w:lineRule="auto"/>
        <w:ind w:right="100"/>
        <w:rPr>
          <w:rFonts w:ascii="Times New Roman" w:eastAsia="Times New Roman" w:hAnsi="Times New Roman"/>
          <w:sz w:val="24"/>
        </w:rPr>
      </w:pPr>
      <w:r>
        <w:rPr>
          <w:rFonts w:ascii="Times New Roman" w:eastAsia="Times New Roman" w:hAnsi="Times New Roman"/>
          <w:sz w:val="24"/>
        </w:rPr>
        <w:t>The service contract is for a continuous period, commencing at the date the contract is signed by all parties.</w:t>
      </w:r>
    </w:p>
    <w:p w:rsidR="00612563" w:rsidRDefault="00612563">
      <w:pPr>
        <w:spacing w:line="2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2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4</w:t>
      </w:r>
    </w:p>
    <w:p w:rsidR="00612563" w:rsidRDefault="00612563">
      <w:pPr>
        <w:spacing w:line="281" w:lineRule="exact"/>
        <w:rPr>
          <w:rFonts w:ascii="Times New Roman" w:eastAsia="Times New Roman" w:hAnsi="Times New Roman"/>
        </w:rPr>
      </w:pPr>
    </w:p>
    <w:p w:rsidR="00612563" w:rsidRDefault="00DF7CAB">
      <w:pPr>
        <w:spacing w:line="277" w:lineRule="auto"/>
        <w:ind w:right="760"/>
        <w:rPr>
          <w:rFonts w:ascii="Times New Roman" w:eastAsia="Times New Roman" w:hAnsi="Times New Roman"/>
          <w:sz w:val="24"/>
        </w:rPr>
      </w:pPr>
      <w:r>
        <w:rPr>
          <w:rFonts w:ascii="Times New Roman" w:eastAsia="Times New Roman" w:hAnsi="Times New Roman"/>
          <w:sz w:val="24"/>
        </w:rPr>
        <w:t>As part of the ICAR Sub-Committee Interbull activities, services described herein will be overseen by the Interbull Steering Committee.</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4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5</w:t>
      </w:r>
    </w:p>
    <w:p w:rsidR="00612563" w:rsidRDefault="00612563">
      <w:pPr>
        <w:spacing w:line="281" w:lineRule="exact"/>
        <w:rPr>
          <w:rFonts w:ascii="Times New Roman" w:eastAsia="Times New Roman" w:hAnsi="Times New Roman"/>
        </w:rPr>
      </w:pPr>
    </w:p>
    <w:p w:rsidR="00612563" w:rsidRDefault="00DF7CAB">
      <w:pPr>
        <w:spacing w:line="299" w:lineRule="auto"/>
        <w:ind w:right="140"/>
        <w:rPr>
          <w:rFonts w:ascii="Times New Roman" w:eastAsia="Times New Roman" w:hAnsi="Times New Roman"/>
          <w:sz w:val="23"/>
        </w:rPr>
      </w:pPr>
      <w:r>
        <w:rPr>
          <w:rFonts w:ascii="Times New Roman" w:eastAsia="Times New Roman" w:hAnsi="Times New Roman"/>
          <w:sz w:val="23"/>
        </w:rPr>
        <w:t xml:space="preserve">Scientific and technical direction for the </w:t>
      </w:r>
      <w:r w:rsidR="00362A1D">
        <w:rPr>
          <w:rFonts w:ascii="Times New Roman" w:eastAsia="Times New Roman" w:hAnsi="Times New Roman"/>
          <w:sz w:val="23"/>
        </w:rPr>
        <w:t>Service</w:t>
      </w:r>
      <w:r>
        <w:rPr>
          <w:rFonts w:ascii="Times New Roman" w:eastAsia="Times New Roman" w:hAnsi="Times New Roman"/>
          <w:sz w:val="23"/>
        </w:rPr>
        <w:t xml:space="preserve"> will be overseen by the Interbull Technical Committee, which will provide technical recommendations to the Interbull Steering Committee.</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32"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6</w:t>
      </w:r>
    </w:p>
    <w:p w:rsidR="00612563" w:rsidRDefault="00612563">
      <w:pPr>
        <w:spacing w:line="281" w:lineRule="exact"/>
        <w:rPr>
          <w:rFonts w:ascii="Times New Roman" w:eastAsia="Times New Roman" w:hAnsi="Times New Roman"/>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In order to accomplish the purpose expressed in Artic</w:t>
      </w:r>
      <w:r w:rsidR="00362A1D">
        <w:rPr>
          <w:rFonts w:ascii="Times New Roman" w:eastAsia="Times New Roman" w:hAnsi="Times New Roman"/>
          <w:sz w:val="24"/>
        </w:rPr>
        <w:t>le 1, the &lt;CUSTOMER&gt; agrees to:</w:t>
      </w:r>
    </w:p>
    <w:p w:rsidR="00612563" w:rsidRDefault="00612563">
      <w:pPr>
        <w:spacing w:line="243" w:lineRule="exact"/>
        <w:rPr>
          <w:rFonts w:ascii="Times New Roman" w:eastAsia="Times New Roman" w:hAnsi="Times New Roman"/>
        </w:rPr>
      </w:pPr>
    </w:p>
    <w:p w:rsidR="00612563" w:rsidRDefault="00DF7CAB">
      <w:pPr>
        <w:numPr>
          <w:ilvl w:val="0"/>
          <w:numId w:val="1"/>
        </w:numPr>
        <w:tabs>
          <w:tab w:val="left" w:pos="720"/>
        </w:tabs>
        <w:spacing w:line="254" w:lineRule="auto"/>
        <w:ind w:left="720" w:hanging="360"/>
        <w:rPr>
          <w:rFonts w:ascii="Arial" w:eastAsia="Arial" w:hAnsi="Arial"/>
        </w:rPr>
      </w:pPr>
      <w:r>
        <w:rPr>
          <w:rFonts w:ascii="Times New Roman" w:eastAsia="Times New Roman" w:hAnsi="Times New Roman"/>
          <w:sz w:val="24"/>
        </w:rPr>
        <w:t>supply genotypes of at least all genotyped bulls older than 12 months to the INTERBULL CENTRE,</w:t>
      </w:r>
    </w:p>
    <w:p w:rsidR="00612563" w:rsidRDefault="00612563">
      <w:pPr>
        <w:spacing w:line="1" w:lineRule="exact"/>
        <w:rPr>
          <w:rFonts w:ascii="Arial" w:eastAsia="Arial" w:hAnsi="Arial"/>
        </w:rPr>
      </w:pPr>
    </w:p>
    <w:p w:rsidR="00612563" w:rsidRDefault="00DF7CAB">
      <w:pPr>
        <w:numPr>
          <w:ilvl w:val="0"/>
          <w:numId w:val="1"/>
        </w:numPr>
        <w:tabs>
          <w:tab w:val="left" w:pos="720"/>
        </w:tabs>
        <w:spacing w:line="0" w:lineRule="atLeast"/>
        <w:ind w:left="720" w:hanging="360"/>
        <w:rPr>
          <w:rFonts w:ascii="Arial" w:eastAsia="Arial" w:hAnsi="Arial"/>
        </w:rPr>
      </w:pPr>
      <w:r>
        <w:rPr>
          <w:rFonts w:ascii="Times New Roman" w:eastAsia="Times New Roman" w:hAnsi="Times New Roman"/>
          <w:sz w:val="24"/>
        </w:rPr>
        <w:t>provide complete pedigrees of all genotyped animals to the INTERBULL CENTRE,</w:t>
      </w:r>
    </w:p>
    <w:p w:rsidR="00612563" w:rsidRDefault="00DF7CAB">
      <w:pPr>
        <w:numPr>
          <w:ilvl w:val="0"/>
          <w:numId w:val="1"/>
        </w:numPr>
        <w:tabs>
          <w:tab w:val="left" w:pos="720"/>
        </w:tabs>
        <w:spacing w:line="0" w:lineRule="atLeast"/>
        <w:ind w:left="720" w:right="860" w:hanging="360"/>
        <w:rPr>
          <w:rFonts w:ascii="Arial" w:eastAsia="Arial" w:hAnsi="Arial"/>
        </w:rPr>
      </w:pPr>
      <w:r>
        <w:rPr>
          <w:rFonts w:ascii="Times New Roman" w:eastAsia="Times New Roman" w:hAnsi="Times New Roman"/>
          <w:sz w:val="24"/>
        </w:rPr>
        <w:t>participate regularly in the Interbull international genetic evaluations using linear multiple-trait across country (MACE) methodologies,</w:t>
      </w:r>
    </w:p>
    <w:p w:rsidR="00612563" w:rsidRDefault="00DF7CAB">
      <w:pPr>
        <w:numPr>
          <w:ilvl w:val="0"/>
          <w:numId w:val="1"/>
        </w:numPr>
        <w:tabs>
          <w:tab w:val="left" w:pos="720"/>
        </w:tabs>
        <w:spacing w:line="239" w:lineRule="auto"/>
        <w:ind w:left="720" w:right="320" w:hanging="360"/>
        <w:jc w:val="both"/>
        <w:rPr>
          <w:rFonts w:ascii="Arial" w:eastAsia="Arial" w:hAnsi="Arial"/>
        </w:rPr>
      </w:pPr>
      <w:r>
        <w:rPr>
          <w:rFonts w:ascii="Times New Roman" w:eastAsia="Times New Roman" w:hAnsi="Times New Roman"/>
          <w:sz w:val="24"/>
        </w:rPr>
        <w:t>follow the publication rules established by participating organizations, given that these rules are in agreement with the Interbull general publication principles and the general agreement among the participating organizations,</w:t>
      </w:r>
    </w:p>
    <w:p w:rsidR="00612563" w:rsidRDefault="00612563">
      <w:pPr>
        <w:spacing w:line="3" w:lineRule="exact"/>
        <w:rPr>
          <w:rFonts w:ascii="Arial" w:eastAsia="Arial" w:hAnsi="Arial"/>
        </w:rPr>
      </w:pPr>
    </w:p>
    <w:p w:rsidR="00612563" w:rsidRDefault="00DF7CAB">
      <w:pPr>
        <w:numPr>
          <w:ilvl w:val="0"/>
          <w:numId w:val="1"/>
        </w:numPr>
        <w:tabs>
          <w:tab w:val="left" w:pos="720"/>
        </w:tabs>
        <w:spacing w:line="0" w:lineRule="atLeast"/>
        <w:ind w:left="720" w:right="500" w:hanging="360"/>
        <w:rPr>
          <w:rFonts w:ascii="Arial" w:eastAsia="Arial" w:hAnsi="Arial"/>
        </w:rPr>
      </w:pPr>
      <w:r>
        <w:rPr>
          <w:rFonts w:ascii="Times New Roman" w:eastAsia="Times New Roman" w:hAnsi="Times New Roman"/>
          <w:sz w:val="24"/>
        </w:rPr>
        <w:t>provide technical expertise to monitor methods used and results generated within the realm of this contract,</w:t>
      </w:r>
    </w:p>
    <w:p w:rsidR="00612563" w:rsidRDefault="00DF7CAB">
      <w:pPr>
        <w:numPr>
          <w:ilvl w:val="0"/>
          <w:numId w:val="1"/>
        </w:numPr>
        <w:tabs>
          <w:tab w:val="left" w:pos="720"/>
        </w:tabs>
        <w:spacing w:line="0" w:lineRule="atLeast"/>
        <w:ind w:left="720" w:hanging="360"/>
        <w:rPr>
          <w:rFonts w:ascii="Arial" w:eastAsia="Arial" w:hAnsi="Arial"/>
        </w:rPr>
      </w:pPr>
      <w:r>
        <w:rPr>
          <w:rFonts w:ascii="Times New Roman" w:eastAsia="Times New Roman" w:hAnsi="Times New Roman"/>
          <w:sz w:val="24"/>
        </w:rPr>
        <w:t>pay the respective service fees as established on Appendix I and</w:t>
      </w:r>
    </w:p>
    <w:p w:rsidR="00612563" w:rsidRDefault="00DF7CAB">
      <w:pPr>
        <w:numPr>
          <w:ilvl w:val="0"/>
          <w:numId w:val="1"/>
        </w:numPr>
        <w:tabs>
          <w:tab w:val="left" w:pos="720"/>
        </w:tabs>
        <w:spacing w:line="246" w:lineRule="auto"/>
        <w:ind w:left="720" w:right="80" w:hanging="360"/>
        <w:jc w:val="both"/>
        <w:rPr>
          <w:rFonts w:ascii="Arial" w:eastAsia="Arial" w:hAnsi="Arial"/>
        </w:rPr>
      </w:pPr>
      <w:r>
        <w:rPr>
          <w:rFonts w:ascii="Times New Roman" w:eastAsia="Times New Roman" w:hAnsi="Times New Roman"/>
          <w:sz w:val="24"/>
        </w:rPr>
        <w:t>provide access to genotypes as defined by the group of organizations participating in the international genomic (InterGenomics) evaluations which are the subject of this contract.</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85"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7</w:t>
      </w:r>
    </w:p>
    <w:p w:rsidR="00612563" w:rsidRDefault="00612563">
      <w:pPr>
        <w:spacing w:line="281" w:lineRule="exact"/>
        <w:rPr>
          <w:rFonts w:ascii="Times New Roman" w:eastAsia="Times New Roman" w:hAnsi="Times New Roman"/>
        </w:rPr>
      </w:pPr>
    </w:p>
    <w:p w:rsidR="00612563" w:rsidRDefault="00DF7CAB">
      <w:pPr>
        <w:spacing w:line="277" w:lineRule="auto"/>
        <w:ind w:right="260"/>
        <w:rPr>
          <w:rFonts w:ascii="Times New Roman" w:eastAsia="Times New Roman" w:hAnsi="Times New Roman"/>
          <w:sz w:val="24"/>
        </w:rPr>
      </w:pPr>
      <w:r>
        <w:rPr>
          <w:rFonts w:ascii="Times New Roman" w:eastAsia="Times New Roman" w:hAnsi="Times New Roman"/>
          <w:sz w:val="24"/>
        </w:rPr>
        <w:t>The &lt;ICAR MEMBER&gt; recognizes the service provision described herein as an official ICAR activity.</w:t>
      </w:r>
    </w:p>
    <w:p w:rsidR="00612563" w:rsidRDefault="00612563">
      <w:pPr>
        <w:spacing w:line="200" w:lineRule="exact"/>
        <w:rPr>
          <w:rFonts w:ascii="Times New Roman" w:eastAsia="Times New Roman" w:hAnsi="Times New Roman"/>
        </w:rPr>
      </w:pPr>
    </w:p>
    <w:p w:rsidR="00612563" w:rsidRDefault="00612563">
      <w:pPr>
        <w:spacing w:line="209" w:lineRule="exact"/>
        <w:rPr>
          <w:rFonts w:ascii="Times New Roman" w:eastAsia="Times New Roman" w:hAnsi="Times New Roman"/>
        </w:rPr>
      </w:pPr>
    </w:p>
    <w:p w:rsidR="00612563" w:rsidRDefault="00DF7CAB">
      <w:pPr>
        <w:spacing w:line="0" w:lineRule="atLeast"/>
        <w:jc w:val="right"/>
        <w:rPr>
          <w:sz w:val="22"/>
        </w:rPr>
      </w:pPr>
      <w:r>
        <w:rPr>
          <w:sz w:val="22"/>
        </w:rPr>
        <w:t>2</w:t>
      </w:r>
    </w:p>
    <w:p w:rsidR="00612563" w:rsidRDefault="00612563">
      <w:pPr>
        <w:spacing w:line="0" w:lineRule="atLeast"/>
        <w:jc w:val="right"/>
        <w:rPr>
          <w:sz w:val="22"/>
        </w:rPr>
        <w:sectPr w:rsidR="00612563">
          <w:pgSz w:w="12240" w:h="15840"/>
          <w:pgMar w:top="1420" w:right="1440" w:bottom="171" w:left="1440" w:header="0" w:footer="0" w:gutter="0"/>
          <w:cols w:space="0" w:equalWidth="0">
            <w:col w:w="9360"/>
          </w:cols>
          <w:docGrid w:linePitch="360"/>
        </w:sectPr>
      </w:pPr>
    </w:p>
    <w:p w:rsidR="00612563" w:rsidRDefault="00DF7CAB">
      <w:pPr>
        <w:spacing w:line="0" w:lineRule="atLeast"/>
        <w:rPr>
          <w:rFonts w:ascii="Times New Roman" w:eastAsia="Times New Roman" w:hAnsi="Times New Roman"/>
          <w:b/>
          <w:sz w:val="27"/>
        </w:rPr>
      </w:pPr>
      <w:bookmarkStart w:id="2" w:name="page3"/>
      <w:bookmarkEnd w:id="2"/>
      <w:r>
        <w:rPr>
          <w:rFonts w:ascii="Times New Roman" w:eastAsia="Times New Roman" w:hAnsi="Times New Roman"/>
          <w:b/>
          <w:sz w:val="27"/>
        </w:rPr>
        <w:lastRenderedPageBreak/>
        <w:t>Article 8</w:t>
      </w:r>
    </w:p>
    <w:p w:rsidR="00612563" w:rsidRDefault="00612563">
      <w:pPr>
        <w:spacing w:line="286" w:lineRule="exact"/>
        <w:rPr>
          <w:rFonts w:ascii="Times New Roman" w:eastAsia="Times New Roman" w:hAnsi="Times New Roman"/>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The INTERBULL CENTRE agrees to provide the following services:</w:t>
      </w:r>
    </w:p>
    <w:p w:rsidR="00612563" w:rsidRDefault="00612563">
      <w:pPr>
        <w:spacing w:line="276" w:lineRule="exact"/>
        <w:rPr>
          <w:rFonts w:ascii="Times New Roman" w:eastAsia="Times New Roman" w:hAnsi="Times New Roman"/>
        </w:rPr>
      </w:pPr>
    </w:p>
    <w:p w:rsidR="00612563" w:rsidRDefault="00DF7CAB">
      <w:pPr>
        <w:numPr>
          <w:ilvl w:val="0"/>
          <w:numId w:val="2"/>
        </w:numPr>
        <w:tabs>
          <w:tab w:val="left" w:pos="720"/>
        </w:tabs>
        <w:spacing w:line="0" w:lineRule="atLeast"/>
        <w:ind w:left="720" w:hanging="360"/>
        <w:rPr>
          <w:rFonts w:ascii="Arial" w:eastAsia="Arial" w:hAnsi="Arial"/>
        </w:rPr>
      </w:pPr>
      <w:r>
        <w:rPr>
          <w:rFonts w:ascii="Times New Roman" w:eastAsia="Times New Roman" w:hAnsi="Times New Roman"/>
          <w:sz w:val="24"/>
        </w:rPr>
        <w:t>maintain an international genotype database for the Holstein breed,</w:t>
      </w:r>
    </w:p>
    <w:p w:rsidR="00612563" w:rsidRDefault="00612563">
      <w:pPr>
        <w:spacing w:line="33" w:lineRule="exact"/>
        <w:rPr>
          <w:rFonts w:ascii="Arial" w:eastAsia="Arial" w:hAnsi="Arial"/>
        </w:rPr>
      </w:pPr>
    </w:p>
    <w:p w:rsidR="00612563" w:rsidRDefault="00DF7CAB">
      <w:pPr>
        <w:numPr>
          <w:ilvl w:val="0"/>
          <w:numId w:val="2"/>
        </w:numPr>
        <w:tabs>
          <w:tab w:val="left" w:pos="720"/>
        </w:tabs>
        <w:spacing w:line="0" w:lineRule="atLeast"/>
        <w:ind w:left="720" w:hanging="360"/>
        <w:rPr>
          <w:rFonts w:ascii="Arial" w:eastAsia="Arial" w:hAnsi="Arial"/>
        </w:rPr>
      </w:pPr>
      <w:r>
        <w:rPr>
          <w:rFonts w:ascii="Times New Roman" w:eastAsia="Times New Roman" w:hAnsi="Times New Roman"/>
          <w:sz w:val="24"/>
        </w:rPr>
        <w:t>carry out the international genomic (InterGenomics) evaluations for the Holstein breed,</w:t>
      </w:r>
    </w:p>
    <w:p w:rsidR="00612563" w:rsidRDefault="00DF7CAB">
      <w:pPr>
        <w:numPr>
          <w:ilvl w:val="0"/>
          <w:numId w:val="2"/>
        </w:numPr>
        <w:tabs>
          <w:tab w:val="left" w:pos="720"/>
        </w:tabs>
        <w:spacing w:line="0" w:lineRule="atLeast"/>
        <w:ind w:left="720" w:right="20" w:hanging="360"/>
        <w:rPr>
          <w:rFonts w:ascii="Arial" w:eastAsia="Arial" w:hAnsi="Arial"/>
        </w:rPr>
      </w:pPr>
      <w:r>
        <w:rPr>
          <w:rFonts w:ascii="Times New Roman" w:eastAsia="Times New Roman" w:hAnsi="Times New Roman"/>
          <w:sz w:val="24"/>
        </w:rPr>
        <w:t>provide technical support to the &lt;CUSTOMER&gt; related to the activities described herein, and</w:t>
      </w:r>
    </w:p>
    <w:p w:rsidR="00612563" w:rsidRDefault="00DF7CAB">
      <w:pPr>
        <w:numPr>
          <w:ilvl w:val="0"/>
          <w:numId w:val="2"/>
        </w:numPr>
        <w:tabs>
          <w:tab w:val="left" w:pos="720"/>
        </w:tabs>
        <w:spacing w:line="0" w:lineRule="atLeast"/>
        <w:ind w:left="720" w:hanging="360"/>
        <w:rPr>
          <w:rFonts w:ascii="Arial" w:eastAsia="Arial" w:hAnsi="Arial"/>
        </w:rPr>
      </w:pPr>
      <w:r>
        <w:rPr>
          <w:rFonts w:ascii="Times New Roman" w:eastAsia="Times New Roman" w:hAnsi="Times New Roman"/>
          <w:sz w:val="24"/>
        </w:rPr>
        <w:t>deliver to the &lt;CUSTOMER&gt; the results of the genomic evaluation:</w:t>
      </w:r>
    </w:p>
    <w:p w:rsidR="00612563" w:rsidRDefault="00612563">
      <w:pPr>
        <w:spacing w:line="20" w:lineRule="exact"/>
        <w:rPr>
          <w:rFonts w:ascii="Times New Roman" w:eastAsia="Times New Roman" w:hAnsi="Times New Roman"/>
        </w:rPr>
      </w:pPr>
    </w:p>
    <w:p w:rsidR="00612563" w:rsidRDefault="00DF7CAB">
      <w:pPr>
        <w:numPr>
          <w:ilvl w:val="0"/>
          <w:numId w:val="3"/>
        </w:numPr>
        <w:tabs>
          <w:tab w:val="left" w:pos="1440"/>
        </w:tabs>
        <w:spacing w:line="228" w:lineRule="auto"/>
        <w:ind w:left="1080" w:right="3380"/>
        <w:rPr>
          <w:rFonts w:ascii="Courier New" w:eastAsia="Courier New" w:hAnsi="Courier New"/>
        </w:rPr>
      </w:pPr>
      <w:r>
        <w:rPr>
          <w:rFonts w:ascii="Times New Roman" w:eastAsia="Times New Roman" w:hAnsi="Times New Roman"/>
          <w:sz w:val="24"/>
        </w:rPr>
        <w:t xml:space="preserve">single-nucleotide polymorphism (SNP) effects, </w:t>
      </w:r>
      <w:r>
        <w:rPr>
          <w:rFonts w:ascii="Courier New" w:eastAsia="Courier New" w:hAnsi="Courier New"/>
        </w:rPr>
        <w:t xml:space="preserve">o </w:t>
      </w:r>
      <w:r w:rsidR="00362A1D">
        <w:rPr>
          <w:rFonts w:ascii="Courier New" w:eastAsia="Courier New" w:hAnsi="Courier New"/>
        </w:rPr>
        <w:t xml:space="preserve"> </w:t>
      </w:r>
      <w:r>
        <w:rPr>
          <w:rFonts w:ascii="Times New Roman" w:eastAsia="Times New Roman" w:hAnsi="Times New Roman"/>
          <w:sz w:val="24"/>
        </w:rPr>
        <w:t>direct genomic values (DGV),</w:t>
      </w:r>
    </w:p>
    <w:p w:rsidR="00612563" w:rsidRDefault="00DF7CAB">
      <w:pPr>
        <w:spacing w:line="225" w:lineRule="auto"/>
        <w:ind w:left="1080"/>
        <w:rPr>
          <w:rFonts w:ascii="Times New Roman" w:eastAsia="Times New Roman" w:hAnsi="Times New Roman"/>
          <w:sz w:val="24"/>
        </w:rPr>
      </w:pPr>
      <w:r>
        <w:rPr>
          <w:rFonts w:ascii="Courier New" w:eastAsia="Courier New" w:hAnsi="Courier New"/>
        </w:rPr>
        <w:t xml:space="preserve">o </w:t>
      </w:r>
      <w:r w:rsidR="00362A1D">
        <w:rPr>
          <w:rFonts w:ascii="Courier New" w:eastAsia="Courier New" w:hAnsi="Courier New"/>
        </w:rPr>
        <w:t xml:space="preserve"> </w:t>
      </w:r>
      <w:r>
        <w:rPr>
          <w:rFonts w:ascii="Times New Roman" w:eastAsia="Times New Roman" w:hAnsi="Times New Roman"/>
          <w:sz w:val="24"/>
        </w:rPr>
        <w:t>genomic breeding values (GEBV),</w:t>
      </w:r>
    </w:p>
    <w:p w:rsidR="00612563" w:rsidRDefault="00DF7CAB">
      <w:pPr>
        <w:spacing w:line="260" w:lineRule="auto"/>
        <w:ind w:left="1080" w:right="4280"/>
        <w:rPr>
          <w:rFonts w:ascii="Times New Roman" w:eastAsia="Times New Roman" w:hAnsi="Times New Roman"/>
          <w:sz w:val="24"/>
        </w:rPr>
      </w:pPr>
      <w:r>
        <w:rPr>
          <w:rFonts w:ascii="Courier New" w:eastAsia="Courier New" w:hAnsi="Courier New"/>
        </w:rPr>
        <w:t xml:space="preserve">o </w:t>
      </w:r>
      <w:r w:rsidR="00362A1D">
        <w:rPr>
          <w:rFonts w:ascii="Courier New" w:eastAsia="Courier New" w:hAnsi="Courier New"/>
        </w:rPr>
        <w:t xml:space="preserve"> </w:t>
      </w:r>
      <w:r>
        <w:rPr>
          <w:rFonts w:ascii="Times New Roman" w:eastAsia="Times New Roman" w:hAnsi="Times New Roman"/>
          <w:sz w:val="24"/>
        </w:rPr>
        <w:t>model validation data and results, and</w:t>
      </w:r>
      <w:r>
        <w:rPr>
          <w:rFonts w:ascii="Courier New" w:eastAsia="Courier New" w:hAnsi="Courier New"/>
        </w:rPr>
        <w:t xml:space="preserve"> o </w:t>
      </w:r>
      <w:r w:rsidR="00362A1D">
        <w:rPr>
          <w:rFonts w:ascii="Courier New" w:eastAsia="Courier New" w:hAnsi="Courier New"/>
        </w:rPr>
        <w:t xml:space="preserve"> </w:t>
      </w:r>
      <w:r>
        <w:rPr>
          <w:rFonts w:ascii="Times New Roman" w:eastAsia="Times New Roman" w:hAnsi="Times New Roman"/>
          <w:sz w:val="24"/>
        </w:rPr>
        <w:t>descriptive statistics of the estimates</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0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9</w:t>
      </w:r>
    </w:p>
    <w:p w:rsidR="00612563" w:rsidRDefault="00612563">
      <w:pPr>
        <w:spacing w:line="281" w:lineRule="exact"/>
        <w:rPr>
          <w:rFonts w:ascii="Times New Roman" w:eastAsia="Times New Roman" w:hAnsi="Times New Roman"/>
        </w:rPr>
      </w:pPr>
    </w:p>
    <w:p w:rsidR="00612563" w:rsidRDefault="00DF7CAB">
      <w:pPr>
        <w:spacing w:line="273" w:lineRule="auto"/>
        <w:ind w:right="100"/>
        <w:rPr>
          <w:rFonts w:ascii="Times New Roman" w:eastAsia="Times New Roman" w:hAnsi="Times New Roman"/>
          <w:sz w:val="24"/>
        </w:rPr>
      </w:pPr>
      <w:r>
        <w:rPr>
          <w:rFonts w:ascii="Times New Roman" w:eastAsia="Times New Roman" w:hAnsi="Times New Roman"/>
          <w:sz w:val="24"/>
        </w:rPr>
        <w:t>Services of genomic evaluation covered by this agreement must follow the procedures described in the Interbull Code of Practice.</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5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10</w:t>
      </w:r>
    </w:p>
    <w:p w:rsidR="00612563" w:rsidRDefault="00612563">
      <w:pPr>
        <w:spacing w:line="281" w:lineRule="exact"/>
        <w:rPr>
          <w:rFonts w:ascii="Times New Roman" w:eastAsia="Times New Roman" w:hAnsi="Times New Roman"/>
        </w:rPr>
      </w:pPr>
    </w:p>
    <w:p w:rsidR="00612563" w:rsidRDefault="00DF7CAB">
      <w:pPr>
        <w:spacing w:line="248" w:lineRule="auto"/>
        <w:ind w:right="60"/>
        <w:rPr>
          <w:rFonts w:ascii="Times New Roman" w:eastAsia="Times New Roman" w:hAnsi="Times New Roman"/>
          <w:sz w:val="24"/>
        </w:rPr>
      </w:pPr>
      <w:r>
        <w:rPr>
          <w:rFonts w:ascii="Times New Roman" w:eastAsia="Times New Roman" w:hAnsi="Times New Roman"/>
          <w:sz w:val="24"/>
        </w:rPr>
        <w:t>&lt;CUSTOMER&gt; and INTERBULL CENTRE have the right to terminate this agreement within 1 year of receipt of notice from the other party. This right of termination is not valid before December 31 2021. The INTERBULL CENTRE shall have the right to terminate the Agreement or withhold performance of services pursuant to this Agreement in the event that &lt;CUSTOMER&gt; is delinquent in payment by more than thirty (30) days.</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91"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11</w:t>
      </w:r>
    </w:p>
    <w:p w:rsidR="00612563" w:rsidRDefault="00612563">
      <w:pPr>
        <w:spacing w:line="281" w:lineRule="exact"/>
        <w:rPr>
          <w:rFonts w:ascii="Times New Roman" w:eastAsia="Times New Roman" w:hAnsi="Times New Roman"/>
        </w:rPr>
      </w:pPr>
    </w:p>
    <w:p w:rsidR="00612563" w:rsidRDefault="00DF7CAB">
      <w:pPr>
        <w:spacing w:line="245" w:lineRule="auto"/>
        <w:ind w:right="120"/>
        <w:rPr>
          <w:rFonts w:ascii="Times New Roman" w:eastAsia="Times New Roman" w:hAnsi="Times New Roman"/>
          <w:sz w:val="24"/>
        </w:rPr>
      </w:pPr>
      <w:r>
        <w:rPr>
          <w:rFonts w:ascii="Times New Roman" w:eastAsia="Times New Roman" w:hAnsi="Times New Roman"/>
          <w:sz w:val="24"/>
        </w:rPr>
        <w:t>Access to the genomic data provided by the &lt;CUSTOMER&gt; will be granted exclusively to INTERBULL CENTRE staff with the objective of accomplishing the objective from the present agreement, expressed on Article 1. Unless explicitly authorized by the group of organizations participating in the international genomic (InterGenomics) evaluations, the INTERBULL CENTRE is not allowed to provide any individual or organization access to the data to which this agreement refers to. Under no circumstances will results on individual animals, herds or genotypes be made available for use by any of the contractors or external organizations for any</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68" w:lineRule="exact"/>
        <w:rPr>
          <w:rFonts w:ascii="Times New Roman" w:eastAsia="Times New Roman" w:hAnsi="Times New Roman"/>
        </w:rPr>
      </w:pPr>
    </w:p>
    <w:p w:rsidR="00612563" w:rsidRDefault="00DF7CAB">
      <w:pPr>
        <w:spacing w:line="0" w:lineRule="atLeast"/>
        <w:jc w:val="right"/>
        <w:rPr>
          <w:sz w:val="22"/>
        </w:rPr>
      </w:pPr>
      <w:r>
        <w:rPr>
          <w:sz w:val="22"/>
        </w:rPr>
        <w:t>3</w:t>
      </w:r>
    </w:p>
    <w:p w:rsidR="00612563" w:rsidRDefault="00612563">
      <w:pPr>
        <w:spacing w:line="0" w:lineRule="atLeast"/>
        <w:jc w:val="right"/>
        <w:rPr>
          <w:sz w:val="22"/>
        </w:rPr>
        <w:sectPr w:rsidR="00612563">
          <w:pgSz w:w="12240" w:h="15840"/>
          <w:pgMar w:top="1440" w:right="1440" w:bottom="171" w:left="1440" w:header="0" w:footer="0" w:gutter="0"/>
          <w:cols w:space="0" w:equalWidth="0">
            <w:col w:w="9360"/>
          </w:cols>
          <w:docGrid w:linePitch="360"/>
        </w:sectPr>
      </w:pPr>
    </w:p>
    <w:p w:rsidR="00612563" w:rsidRDefault="00DF7CAB">
      <w:pPr>
        <w:spacing w:line="273" w:lineRule="auto"/>
        <w:ind w:right="220"/>
        <w:rPr>
          <w:rFonts w:ascii="Times New Roman" w:eastAsia="Times New Roman" w:hAnsi="Times New Roman"/>
          <w:sz w:val="24"/>
        </w:rPr>
      </w:pPr>
      <w:bookmarkStart w:id="3" w:name="page4"/>
      <w:bookmarkEnd w:id="3"/>
      <w:r>
        <w:rPr>
          <w:rFonts w:ascii="Times New Roman" w:eastAsia="Times New Roman" w:hAnsi="Times New Roman"/>
          <w:sz w:val="24"/>
        </w:rPr>
        <w:lastRenderedPageBreak/>
        <w:t>purposes without advance written authority from the organization providing the data in the first instance.</w:t>
      </w:r>
    </w:p>
    <w:p w:rsidR="00612563" w:rsidRDefault="00612563">
      <w:pPr>
        <w:spacing w:line="203" w:lineRule="exact"/>
        <w:rPr>
          <w:rFonts w:ascii="Times New Roman" w:eastAsia="Times New Roman" w:hAnsi="Times New Roman"/>
        </w:rPr>
      </w:pPr>
    </w:p>
    <w:p w:rsidR="00612563" w:rsidRDefault="00DF7CAB">
      <w:pPr>
        <w:spacing w:line="274" w:lineRule="auto"/>
        <w:ind w:right="120"/>
        <w:rPr>
          <w:rFonts w:ascii="Times New Roman" w:eastAsia="Times New Roman" w:hAnsi="Times New Roman"/>
          <w:sz w:val="23"/>
        </w:rPr>
      </w:pPr>
      <w:r>
        <w:rPr>
          <w:rFonts w:ascii="Times New Roman" w:eastAsia="Times New Roman" w:hAnsi="Times New Roman"/>
          <w:sz w:val="23"/>
        </w:rPr>
        <w:t>When investigations demanded by the service users are carried out, research results obtained by the INTERBULL CENTRE or any other research collaborator using data supplied by the &lt;CUSTOMER&gt; may be published only after approval has been granted by the &lt;CUSTOMER&gt;.</w:t>
      </w:r>
    </w:p>
    <w:p w:rsidR="00612563" w:rsidRDefault="00612563">
      <w:pPr>
        <w:spacing w:line="20" w:lineRule="exact"/>
        <w:rPr>
          <w:rFonts w:ascii="Times New Roman" w:eastAsia="Times New Roman" w:hAnsi="Times New Roman"/>
        </w:rPr>
      </w:pPr>
    </w:p>
    <w:p w:rsidR="00612563" w:rsidRDefault="00612563">
      <w:pPr>
        <w:spacing w:line="183" w:lineRule="exact"/>
        <w:rPr>
          <w:rFonts w:ascii="Times New Roman" w:eastAsia="Times New Roman" w:hAnsi="Times New Roman"/>
        </w:rPr>
      </w:pPr>
    </w:p>
    <w:p w:rsidR="00612563" w:rsidRDefault="00DF7CAB">
      <w:pPr>
        <w:spacing w:line="252" w:lineRule="auto"/>
        <w:ind w:right="100"/>
        <w:rPr>
          <w:rFonts w:ascii="Times New Roman" w:eastAsia="Times New Roman" w:hAnsi="Times New Roman"/>
          <w:sz w:val="24"/>
        </w:rPr>
      </w:pPr>
      <w:r>
        <w:rPr>
          <w:rFonts w:ascii="Times New Roman" w:eastAsia="Times New Roman" w:hAnsi="Times New Roman"/>
          <w:sz w:val="24"/>
        </w:rPr>
        <w:t>In case of termination of the Agreement, the genotypes already provided by the &lt;CUSTOMER&gt; remain in the database of Interbull and may be used for the international genomic (InterGenomics) evaluation for the Holstein breed. Article 11 remains valid even if the agreement is terminated by the &lt;CUSTOMER&gt;.</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79"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7"/>
        </w:rPr>
      </w:pPr>
      <w:r>
        <w:rPr>
          <w:rFonts w:ascii="Times New Roman" w:eastAsia="Times New Roman" w:hAnsi="Times New Roman"/>
          <w:b/>
          <w:sz w:val="27"/>
        </w:rPr>
        <w:t>Article 12</w:t>
      </w:r>
    </w:p>
    <w:p w:rsidR="00612563" w:rsidRDefault="00612563">
      <w:pPr>
        <w:spacing w:line="281" w:lineRule="exact"/>
        <w:rPr>
          <w:rFonts w:ascii="Times New Roman" w:eastAsia="Times New Roman" w:hAnsi="Times New Roman"/>
        </w:rPr>
      </w:pPr>
    </w:p>
    <w:p w:rsidR="00612563" w:rsidRDefault="00DF7CAB">
      <w:pPr>
        <w:spacing w:line="257" w:lineRule="auto"/>
        <w:ind w:right="420"/>
        <w:rPr>
          <w:rFonts w:ascii="Times New Roman" w:eastAsia="Times New Roman" w:hAnsi="Times New Roman"/>
          <w:sz w:val="24"/>
        </w:rPr>
      </w:pPr>
      <w:r>
        <w:rPr>
          <w:rFonts w:ascii="Times New Roman" w:eastAsia="Times New Roman" w:hAnsi="Times New Roman"/>
          <w:sz w:val="24"/>
        </w:rPr>
        <w:t>Any dispute under this agreement which the parties cannot resolve by negotiations shall be resolved by arbitration according to Swedish Arbitration law (“lag 1992:145 om skiljeman”). The terms of this agreement shall be interpreted under Swedish Law.</w:t>
      </w:r>
    </w:p>
    <w:p w:rsidR="00612563" w:rsidRDefault="00612563">
      <w:pPr>
        <w:spacing w:line="227" w:lineRule="exact"/>
        <w:rPr>
          <w:rFonts w:ascii="Times New Roman" w:eastAsia="Times New Roman" w:hAnsi="Times New Roman"/>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sz w:val="24"/>
        </w:rPr>
        <w:t>Signed in 3 originals</w:t>
      </w:r>
    </w:p>
    <w:p w:rsidR="00612563" w:rsidRDefault="00612563">
      <w:pPr>
        <w:spacing w:line="275" w:lineRule="exact"/>
        <w:rPr>
          <w:rFonts w:ascii="Times New Roman" w:eastAsia="Times New Roman" w:hAnsi="Times New Roman"/>
        </w:rPr>
      </w:pPr>
    </w:p>
    <w:p w:rsidR="00612563" w:rsidRDefault="00635216">
      <w:pPr>
        <w:spacing w:line="0" w:lineRule="atLeast"/>
        <w:rPr>
          <w:rFonts w:ascii="Times New Roman" w:eastAsia="Times New Roman" w:hAnsi="Times New Roman"/>
          <w:b/>
          <w:sz w:val="24"/>
        </w:rPr>
      </w:pPr>
      <w:r>
        <w:rPr>
          <w:rFonts w:ascii="Times New Roman" w:eastAsia="Times New Roman" w:hAnsi="Times New Roman"/>
          <w:sz w:val="24"/>
        </w:rPr>
        <w:t xml:space="preserve">Signed on (date) </w:t>
      </w:r>
      <w:r w:rsidR="00DF7CAB">
        <w:rPr>
          <w:rFonts w:ascii="Times New Roman" w:eastAsia="Times New Roman" w:hAnsi="Times New Roman"/>
          <w:sz w:val="24"/>
        </w:rPr>
        <w:t xml:space="preserve">; by </w:t>
      </w:r>
      <w:r w:rsidR="00DF7CAB">
        <w:rPr>
          <w:rFonts w:ascii="Times New Roman" w:eastAsia="Times New Roman" w:hAnsi="Times New Roman"/>
          <w:b/>
          <w:sz w:val="24"/>
        </w:rPr>
        <w:t>&lt;NAME&gt; Legal representative of &lt;CUSTOMER&gt;</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90" w:lineRule="exact"/>
        <w:rPr>
          <w:rFonts w:ascii="Times New Roman" w:eastAsia="Times New Roman" w:hAnsi="Times New Roman"/>
        </w:rPr>
      </w:pPr>
    </w:p>
    <w:p w:rsidR="00612563" w:rsidRDefault="00DF7CAB">
      <w:pPr>
        <w:spacing w:line="0" w:lineRule="atLeast"/>
        <w:rPr>
          <w:rFonts w:ascii="Times New Roman" w:eastAsia="Times New Roman" w:hAnsi="Times New Roman"/>
          <w:b/>
          <w:sz w:val="24"/>
        </w:rPr>
      </w:pPr>
      <w:r>
        <w:rPr>
          <w:rFonts w:ascii="Times New Roman" w:eastAsia="Times New Roman" w:hAnsi="Times New Roman"/>
          <w:sz w:val="24"/>
        </w:rPr>
        <w:t xml:space="preserve">Signed on (date) ; by </w:t>
      </w:r>
      <w:r>
        <w:rPr>
          <w:rFonts w:ascii="Times New Roman" w:eastAsia="Times New Roman" w:hAnsi="Times New Roman"/>
          <w:b/>
          <w:sz w:val="24"/>
        </w:rPr>
        <w:t>&lt;NAME&gt; Legal representative of &lt;ICAR MEMBER&gt;</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94" w:lineRule="exact"/>
        <w:rPr>
          <w:rFonts w:ascii="Times New Roman" w:eastAsia="Times New Roman" w:hAnsi="Times New Roman"/>
        </w:rPr>
      </w:pPr>
    </w:p>
    <w:p w:rsidR="00612563" w:rsidRDefault="005C0C85">
      <w:pPr>
        <w:spacing w:line="0" w:lineRule="atLeast"/>
        <w:rPr>
          <w:rFonts w:ascii="Times New Roman" w:eastAsia="Times New Roman" w:hAnsi="Times New Roman"/>
          <w:b/>
          <w:sz w:val="24"/>
        </w:rPr>
      </w:pPr>
      <w:r>
        <w:rPr>
          <w:rFonts w:ascii="Times New Roman" w:eastAsia="Times New Roman" w:hAnsi="Times New Roman"/>
          <w:sz w:val="24"/>
        </w:rPr>
        <w:t xml:space="preserve">Signed on </w:t>
      </w:r>
      <w:r w:rsidR="00032F6E">
        <w:rPr>
          <w:rFonts w:ascii="Times New Roman" w:eastAsia="Times New Roman" w:hAnsi="Times New Roman"/>
          <w:sz w:val="24"/>
        </w:rPr>
        <w:t>5</w:t>
      </w:r>
      <w:r w:rsidRPr="005C0C85">
        <w:rPr>
          <w:rFonts w:ascii="Times New Roman" w:eastAsia="Times New Roman" w:hAnsi="Times New Roman"/>
          <w:sz w:val="24"/>
          <w:vertAlign w:val="superscript"/>
        </w:rPr>
        <w:t>th</w:t>
      </w:r>
      <w:r>
        <w:rPr>
          <w:rFonts w:ascii="Times New Roman" w:eastAsia="Times New Roman" w:hAnsi="Times New Roman"/>
          <w:sz w:val="24"/>
        </w:rPr>
        <w:t xml:space="preserve"> </w:t>
      </w:r>
      <w:r w:rsidR="00032F6E">
        <w:rPr>
          <w:rFonts w:ascii="Times New Roman" w:eastAsia="Times New Roman" w:hAnsi="Times New Roman"/>
          <w:sz w:val="24"/>
        </w:rPr>
        <w:t>November</w:t>
      </w:r>
      <w:r>
        <w:rPr>
          <w:rFonts w:ascii="Times New Roman" w:eastAsia="Times New Roman" w:hAnsi="Times New Roman"/>
          <w:sz w:val="24"/>
        </w:rPr>
        <w:t xml:space="preserve"> 2020</w:t>
      </w:r>
      <w:r w:rsidR="00DF7CAB">
        <w:rPr>
          <w:rFonts w:ascii="Times New Roman" w:eastAsia="Times New Roman" w:hAnsi="Times New Roman"/>
          <w:sz w:val="24"/>
        </w:rPr>
        <w:t xml:space="preserve">; by </w:t>
      </w:r>
      <w:r w:rsidRPr="005C0C85">
        <w:rPr>
          <w:rFonts w:ascii="Times New Roman" w:eastAsia="Times New Roman" w:hAnsi="Times New Roman"/>
          <w:b/>
          <w:sz w:val="24"/>
        </w:rPr>
        <w:t>Matthew Shaffer</w:t>
      </w:r>
      <w:r>
        <w:rPr>
          <w:rFonts w:ascii="Times New Roman" w:eastAsia="Times New Roman" w:hAnsi="Times New Roman"/>
          <w:b/>
          <w:sz w:val="24"/>
        </w:rPr>
        <w:t xml:space="preserve"> Chair of </w:t>
      </w:r>
      <w:r w:rsidR="00DF7CAB">
        <w:rPr>
          <w:rFonts w:ascii="Times New Roman" w:eastAsia="Times New Roman" w:hAnsi="Times New Roman"/>
          <w:b/>
          <w:sz w:val="24"/>
        </w:rPr>
        <w:t xml:space="preserve">INTERBULL CENTRE </w:t>
      </w:r>
      <w:r>
        <w:rPr>
          <w:rFonts w:ascii="Times New Roman" w:eastAsia="Times New Roman" w:hAnsi="Times New Roman"/>
          <w:b/>
          <w:sz w:val="24"/>
        </w:rPr>
        <w:t>Steering Committe</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90" w:lineRule="exact"/>
        <w:rPr>
          <w:rFonts w:ascii="Times New Roman" w:eastAsia="Times New Roman" w:hAnsi="Times New Roman"/>
        </w:rPr>
      </w:pPr>
    </w:p>
    <w:p w:rsidR="00612563" w:rsidRDefault="00DF7CAB">
      <w:pPr>
        <w:spacing w:line="278" w:lineRule="auto"/>
        <w:ind w:right="280"/>
        <w:rPr>
          <w:rFonts w:ascii="Times New Roman" w:eastAsia="Times New Roman" w:hAnsi="Times New Roman"/>
          <w:b/>
          <w:sz w:val="24"/>
        </w:rPr>
      </w:pPr>
      <w:r>
        <w:rPr>
          <w:rFonts w:ascii="Times New Roman" w:eastAsia="Times New Roman" w:hAnsi="Times New Roman"/>
          <w:sz w:val="24"/>
        </w:rPr>
        <w:t xml:space="preserve">Signed on </w:t>
      </w:r>
      <w:r w:rsidR="00032F6E">
        <w:rPr>
          <w:rFonts w:ascii="Times New Roman" w:eastAsia="Times New Roman" w:hAnsi="Times New Roman"/>
          <w:sz w:val="24"/>
        </w:rPr>
        <w:t>5</w:t>
      </w:r>
      <w:r w:rsidR="00032F6E" w:rsidRPr="005C0C85">
        <w:rPr>
          <w:rFonts w:ascii="Times New Roman" w:eastAsia="Times New Roman" w:hAnsi="Times New Roman"/>
          <w:sz w:val="24"/>
          <w:vertAlign w:val="superscript"/>
        </w:rPr>
        <w:t>th</w:t>
      </w:r>
      <w:r w:rsidR="00032F6E">
        <w:rPr>
          <w:rFonts w:ascii="Times New Roman" w:eastAsia="Times New Roman" w:hAnsi="Times New Roman"/>
          <w:sz w:val="24"/>
        </w:rPr>
        <w:t xml:space="preserve"> November</w:t>
      </w:r>
      <w:r w:rsidR="005C0C85">
        <w:rPr>
          <w:rFonts w:ascii="Times New Roman" w:eastAsia="Times New Roman" w:hAnsi="Times New Roman"/>
          <w:sz w:val="24"/>
        </w:rPr>
        <w:t xml:space="preserve"> 2020</w:t>
      </w:r>
      <w:r>
        <w:rPr>
          <w:rFonts w:ascii="Times New Roman" w:eastAsia="Times New Roman" w:hAnsi="Times New Roman"/>
          <w:sz w:val="24"/>
        </w:rPr>
        <w:t xml:space="preserve">; by </w:t>
      </w:r>
      <w:r w:rsidR="005C0C85" w:rsidRPr="005C0C85">
        <w:rPr>
          <w:rFonts w:ascii="Times New Roman" w:eastAsia="Times New Roman" w:hAnsi="Times New Roman"/>
          <w:b/>
          <w:sz w:val="24"/>
        </w:rPr>
        <w:t>Lotta Rydhmer</w:t>
      </w:r>
      <w:r w:rsidR="005C0C85">
        <w:rPr>
          <w:rFonts w:ascii="Times New Roman" w:eastAsia="Times New Roman" w:hAnsi="Times New Roman"/>
          <w:b/>
          <w:sz w:val="24"/>
        </w:rPr>
        <w:t xml:space="preserve"> </w:t>
      </w:r>
      <w:r>
        <w:rPr>
          <w:rFonts w:ascii="Times New Roman" w:eastAsia="Times New Roman" w:hAnsi="Times New Roman"/>
          <w:b/>
          <w:sz w:val="24"/>
        </w:rPr>
        <w:t>Head of Department for Animal Breeding and Genetics at</w:t>
      </w:r>
      <w:r>
        <w:rPr>
          <w:rFonts w:ascii="Times New Roman" w:eastAsia="Times New Roman" w:hAnsi="Times New Roman"/>
          <w:sz w:val="24"/>
        </w:rPr>
        <w:t xml:space="preserve"> </w:t>
      </w:r>
      <w:r>
        <w:rPr>
          <w:rFonts w:ascii="Times New Roman" w:eastAsia="Times New Roman" w:hAnsi="Times New Roman"/>
          <w:b/>
          <w:sz w:val="24"/>
        </w:rPr>
        <w:t>the Swedish University of Agricultural Sciences (SLU)</w:t>
      </w:r>
    </w:p>
    <w:p w:rsidR="00612563" w:rsidRDefault="00423A8A">
      <w:pPr>
        <w:spacing w:line="20" w:lineRule="exact"/>
        <w:rPr>
          <w:rFonts w:ascii="Times New Roman" w:eastAsia="Times New Roman" w:hAnsi="Times New Roman"/>
        </w:rPr>
      </w:pPr>
      <w:r>
        <w:rPr>
          <w:rFonts w:ascii="Times New Roman" w:eastAsia="Times New Roman" w:hAnsi="Times New Roman"/>
          <w:b/>
          <w:noProof/>
          <w:sz w:val="24"/>
          <w:lang w:val="en-GB" w:eastAsia="en-GB"/>
        </w:rPr>
        <w:drawing>
          <wp:anchor distT="0" distB="0" distL="114300" distR="114300" simplePos="0" relativeHeight="251659776" behindDoc="1" locked="0" layoutInCell="1" allowOverlap="1">
            <wp:simplePos x="0" y="0"/>
            <wp:positionH relativeFrom="column">
              <wp:posOffset>-4445</wp:posOffset>
            </wp:positionH>
            <wp:positionV relativeFrom="paragraph">
              <wp:posOffset>622300</wp:posOffset>
            </wp:positionV>
            <wp:extent cx="5953125"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125" cy="10160"/>
                    </a:xfrm>
                    <a:prstGeom prst="rect">
                      <a:avLst/>
                    </a:prstGeom>
                    <a:noFill/>
                  </pic:spPr>
                </pic:pic>
              </a:graphicData>
            </a:graphic>
            <wp14:sizeRelH relativeFrom="page">
              <wp14:pctWidth>0</wp14:pctWidth>
            </wp14:sizeRelH>
            <wp14:sizeRelV relativeFrom="page">
              <wp14:pctHeight>0</wp14:pctHeight>
            </wp14:sizeRelV>
          </wp:anchor>
        </w:drawing>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21" w:lineRule="exact"/>
        <w:rPr>
          <w:rFonts w:ascii="Times New Roman" w:eastAsia="Times New Roman" w:hAnsi="Times New Roman"/>
        </w:rPr>
      </w:pPr>
    </w:p>
    <w:p w:rsidR="00612563" w:rsidRDefault="00DF7CAB">
      <w:pPr>
        <w:spacing w:line="0" w:lineRule="atLeast"/>
        <w:jc w:val="right"/>
        <w:rPr>
          <w:sz w:val="22"/>
        </w:rPr>
      </w:pPr>
      <w:r>
        <w:rPr>
          <w:sz w:val="22"/>
        </w:rPr>
        <w:t>4</w:t>
      </w:r>
    </w:p>
    <w:p w:rsidR="00612563" w:rsidRDefault="00612563">
      <w:pPr>
        <w:spacing w:line="0" w:lineRule="atLeast"/>
        <w:jc w:val="right"/>
        <w:rPr>
          <w:sz w:val="22"/>
        </w:rPr>
        <w:sectPr w:rsidR="00612563">
          <w:pgSz w:w="12240" w:h="15840"/>
          <w:pgMar w:top="1421" w:right="1440" w:bottom="171" w:left="1440" w:header="0" w:footer="0" w:gutter="0"/>
          <w:cols w:space="0" w:equalWidth="0">
            <w:col w:w="9360"/>
          </w:cols>
          <w:docGrid w:linePitch="360"/>
        </w:sectPr>
      </w:pPr>
    </w:p>
    <w:p w:rsidR="00612563" w:rsidRDefault="00DF7CAB">
      <w:pPr>
        <w:spacing w:line="273" w:lineRule="auto"/>
        <w:ind w:right="620"/>
        <w:rPr>
          <w:rFonts w:ascii="Times New Roman" w:eastAsia="Times New Roman" w:hAnsi="Times New Roman"/>
          <w:sz w:val="24"/>
        </w:rPr>
      </w:pPr>
      <w:bookmarkStart w:id="4" w:name="page5"/>
      <w:bookmarkEnd w:id="4"/>
      <w:r>
        <w:rPr>
          <w:rFonts w:ascii="Times New Roman" w:eastAsia="Times New Roman" w:hAnsi="Times New Roman"/>
          <w:sz w:val="24"/>
        </w:rPr>
        <w:lastRenderedPageBreak/>
        <w:t>Appendix I – Service fees for the international genomic (InterGenomics) evaluation for the Holstein breed provided by the Interbull Centre</w:t>
      </w:r>
    </w:p>
    <w:p w:rsidR="00612563" w:rsidRDefault="00612563">
      <w:pPr>
        <w:spacing w:line="201" w:lineRule="exact"/>
        <w:rPr>
          <w:rFonts w:ascii="Times New Roman" w:eastAsia="Times New Roman" w:hAnsi="Times New Roman"/>
        </w:rPr>
      </w:pPr>
    </w:p>
    <w:p w:rsidR="00612563" w:rsidRDefault="00DF7CAB">
      <w:pPr>
        <w:spacing w:line="0" w:lineRule="atLeast"/>
        <w:rPr>
          <w:rFonts w:ascii="Times New Roman" w:eastAsia="Times New Roman" w:hAnsi="Times New Roman"/>
          <w:sz w:val="24"/>
        </w:rPr>
      </w:pPr>
      <w:r>
        <w:rPr>
          <w:rFonts w:ascii="Times New Roman" w:eastAsia="Times New Roman" w:hAnsi="Times New Roman"/>
          <w:b/>
          <w:sz w:val="24"/>
        </w:rPr>
        <w:t xml:space="preserve">Table 1 - </w:t>
      </w:r>
      <w:r>
        <w:rPr>
          <w:rFonts w:ascii="Times New Roman" w:eastAsia="Times New Roman" w:hAnsi="Times New Roman"/>
          <w:sz w:val="24"/>
        </w:rPr>
        <w:t>Strata and respective fee per 1000 cows.</w:t>
      </w:r>
    </w:p>
    <w:p w:rsidR="00612563" w:rsidRDefault="00612563">
      <w:pPr>
        <w:spacing w:line="20" w:lineRule="exact"/>
        <w:rPr>
          <w:rFonts w:ascii="Times New Roman" w:eastAsia="Times New Roman" w:hAnsi="Times New Roman"/>
        </w:rPr>
      </w:pPr>
    </w:p>
    <w:p w:rsidR="00612563" w:rsidRDefault="00612563">
      <w:pPr>
        <w:spacing w:line="261" w:lineRule="exact"/>
        <w:rPr>
          <w:rFonts w:ascii="Times New Roman" w:eastAsia="Times New Roman" w:hAnsi="Times New Roman"/>
        </w:rPr>
      </w:pPr>
    </w:p>
    <w:tbl>
      <w:tblPr>
        <w:tblW w:w="9734" w:type="dxa"/>
        <w:tblInd w:w="20" w:type="dxa"/>
        <w:tblLayout w:type="fixed"/>
        <w:tblCellMar>
          <w:left w:w="0" w:type="dxa"/>
          <w:right w:w="0" w:type="dxa"/>
        </w:tblCellMar>
        <w:tblLook w:val="0000" w:firstRow="0" w:lastRow="0" w:firstColumn="0" w:lastColumn="0" w:noHBand="0" w:noVBand="0"/>
      </w:tblPr>
      <w:tblGrid>
        <w:gridCol w:w="1567"/>
        <w:gridCol w:w="20"/>
        <w:gridCol w:w="21"/>
        <w:gridCol w:w="2842"/>
        <w:gridCol w:w="20"/>
        <w:gridCol w:w="20"/>
        <w:gridCol w:w="2466"/>
        <w:gridCol w:w="20"/>
        <w:gridCol w:w="20"/>
        <w:gridCol w:w="2738"/>
      </w:tblGrid>
      <w:tr w:rsidR="00612563" w:rsidTr="00676C61">
        <w:trPr>
          <w:trHeight w:val="288"/>
        </w:trPr>
        <w:tc>
          <w:tcPr>
            <w:tcW w:w="1567" w:type="dxa"/>
            <w:tcBorders>
              <w:top w:val="single" w:sz="8" w:space="0" w:color="auto"/>
            </w:tcBorders>
            <w:shd w:val="clear" w:color="auto" w:fill="auto"/>
            <w:vAlign w:val="bottom"/>
          </w:tcPr>
          <w:p w:rsidR="00612563" w:rsidRDefault="00DF7CAB">
            <w:pPr>
              <w:spacing w:line="273" w:lineRule="exact"/>
              <w:ind w:left="100"/>
              <w:rPr>
                <w:rFonts w:ascii="Times New Roman" w:eastAsia="Times New Roman" w:hAnsi="Times New Roman"/>
                <w:b/>
                <w:sz w:val="24"/>
              </w:rPr>
            </w:pPr>
            <w:r>
              <w:rPr>
                <w:rFonts w:ascii="Times New Roman" w:eastAsia="Times New Roman" w:hAnsi="Times New Roman"/>
                <w:b/>
                <w:sz w:val="24"/>
              </w:rPr>
              <w:t>Minimum</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top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842" w:type="dxa"/>
            <w:tcBorders>
              <w:top w:val="single" w:sz="8" w:space="0" w:color="auto"/>
            </w:tcBorders>
            <w:shd w:val="clear" w:color="auto" w:fill="auto"/>
            <w:vAlign w:val="bottom"/>
          </w:tcPr>
          <w:p w:rsidR="00612563" w:rsidRDefault="00DF7CAB">
            <w:pPr>
              <w:spacing w:line="273" w:lineRule="exact"/>
              <w:ind w:left="80"/>
              <w:rPr>
                <w:rFonts w:ascii="Times New Roman" w:eastAsia="Times New Roman" w:hAnsi="Times New Roman"/>
                <w:b/>
                <w:sz w:val="24"/>
              </w:rPr>
            </w:pPr>
            <w:r>
              <w:rPr>
                <w:rFonts w:ascii="Times New Roman" w:eastAsia="Times New Roman" w:hAnsi="Times New Roman"/>
                <w:b/>
                <w:sz w:val="24"/>
              </w:rPr>
              <w:t>Maximum</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top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466" w:type="dxa"/>
            <w:tcBorders>
              <w:top w:val="single" w:sz="8" w:space="0" w:color="auto"/>
            </w:tcBorders>
            <w:shd w:val="clear" w:color="auto" w:fill="auto"/>
            <w:vAlign w:val="bottom"/>
          </w:tcPr>
          <w:p w:rsidR="00612563" w:rsidRDefault="00DF7CAB">
            <w:pPr>
              <w:spacing w:line="273" w:lineRule="exact"/>
              <w:ind w:left="80"/>
              <w:rPr>
                <w:rFonts w:ascii="Times New Roman" w:eastAsia="Times New Roman" w:hAnsi="Times New Roman"/>
                <w:b/>
                <w:sz w:val="24"/>
              </w:rPr>
            </w:pPr>
            <w:r>
              <w:rPr>
                <w:rFonts w:ascii="Times New Roman" w:eastAsia="Times New Roman" w:hAnsi="Times New Roman"/>
                <w:b/>
                <w:sz w:val="24"/>
              </w:rPr>
              <w:t>Fee per 1000 cows</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top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738" w:type="dxa"/>
            <w:tcBorders>
              <w:top w:val="single" w:sz="8" w:space="0" w:color="auto"/>
            </w:tcBorders>
            <w:shd w:val="clear" w:color="auto" w:fill="auto"/>
            <w:vAlign w:val="bottom"/>
          </w:tcPr>
          <w:p w:rsidR="00612563" w:rsidRDefault="00DF7CAB">
            <w:pPr>
              <w:spacing w:line="273" w:lineRule="exact"/>
              <w:ind w:left="60"/>
              <w:rPr>
                <w:rFonts w:ascii="Times New Roman" w:eastAsia="Times New Roman" w:hAnsi="Times New Roman"/>
                <w:b/>
                <w:sz w:val="24"/>
              </w:rPr>
            </w:pPr>
            <w:r>
              <w:rPr>
                <w:rFonts w:ascii="Times New Roman" w:eastAsia="Times New Roman" w:hAnsi="Times New Roman"/>
                <w:b/>
                <w:sz w:val="24"/>
              </w:rPr>
              <w:t>Cumulative per</w:t>
            </w:r>
          </w:p>
        </w:tc>
      </w:tr>
      <w:tr w:rsidR="00612563" w:rsidTr="00676C61">
        <w:trPr>
          <w:trHeight w:val="340"/>
        </w:trPr>
        <w:tc>
          <w:tcPr>
            <w:tcW w:w="1567"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842"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466"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738" w:type="dxa"/>
            <w:tcBorders>
              <w:bottom w:val="single" w:sz="8" w:space="0" w:color="auto"/>
            </w:tcBorders>
            <w:shd w:val="clear" w:color="auto" w:fill="auto"/>
            <w:vAlign w:val="bottom"/>
          </w:tcPr>
          <w:p w:rsidR="00612563" w:rsidRDefault="00DF7CAB">
            <w:pPr>
              <w:spacing w:line="0" w:lineRule="atLeast"/>
              <w:ind w:left="60"/>
              <w:rPr>
                <w:rFonts w:ascii="Times New Roman" w:eastAsia="Times New Roman" w:hAnsi="Times New Roman"/>
                <w:b/>
                <w:sz w:val="24"/>
              </w:rPr>
            </w:pPr>
            <w:r>
              <w:rPr>
                <w:rFonts w:ascii="Times New Roman" w:eastAsia="Times New Roman" w:hAnsi="Times New Roman"/>
                <w:b/>
                <w:sz w:val="24"/>
              </w:rPr>
              <w:t>stratum</w:t>
            </w:r>
          </w:p>
        </w:tc>
      </w:tr>
      <w:tr w:rsidR="00612563" w:rsidTr="00676C61">
        <w:trPr>
          <w:trHeight w:val="294"/>
        </w:trPr>
        <w:tc>
          <w:tcPr>
            <w:tcW w:w="1567" w:type="dxa"/>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1</w:t>
            </w:r>
          </w:p>
        </w:tc>
        <w:tc>
          <w:tcPr>
            <w:tcW w:w="41" w:type="dxa"/>
            <w:gridSpan w:val="2"/>
            <w:shd w:val="clear" w:color="auto" w:fill="auto"/>
            <w:vAlign w:val="bottom"/>
          </w:tcPr>
          <w:p w:rsidR="00612563" w:rsidRDefault="00612563">
            <w:pPr>
              <w:spacing w:line="0" w:lineRule="atLeast"/>
              <w:rPr>
                <w:rFonts w:ascii="Times New Roman" w:eastAsia="Times New Roman" w:hAnsi="Times New Roman"/>
                <w:sz w:val="24"/>
              </w:rPr>
            </w:pPr>
          </w:p>
        </w:tc>
        <w:tc>
          <w:tcPr>
            <w:tcW w:w="2842" w:type="dxa"/>
            <w:shd w:val="clear" w:color="auto" w:fill="auto"/>
            <w:vAlign w:val="bottom"/>
          </w:tcPr>
          <w:p w:rsidR="00612563" w:rsidRDefault="00DF7CAB">
            <w:pPr>
              <w:spacing w:line="0" w:lineRule="atLeast"/>
              <w:ind w:left="80"/>
              <w:rPr>
                <w:rFonts w:ascii="Times New Roman" w:eastAsia="Times New Roman" w:hAnsi="Times New Roman"/>
                <w:sz w:val="24"/>
              </w:rPr>
            </w:pPr>
            <w:r>
              <w:rPr>
                <w:rFonts w:ascii="Times New Roman" w:eastAsia="Times New Roman" w:hAnsi="Times New Roman"/>
                <w:sz w:val="24"/>
              </w:rPr>
              <w:t>50000</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466" w:type="dxa"/>
            <w:shd w:val="clear" w:color="auto" w:fill="auto"/>
            <w:vAlign w:val="bottom"/>
          </w:tcPr>
          <w:p w:rsidR="00612563" w:rsidRDefault="00DF7CAB">
            <w:pPr>
              <w:spacing w:line="0" w:lineRule="atLeast"/>
              <w:ind w:left="80"/>
              <w:rPr>
                <w:rFonts w:ascii="Times New Roman" w:eastAsia="Times New Roman" w:hAnsi="Times New Roman"/>
                <w:sz w:val="24"/>
              </w:rPr>
            </w:pPr>
            <w:r>
              <w:rPr>
                <w:rFonts w:ascii="Times New Roman" w:eastAsia="Times New Roman" w:hAnsi="Times New Roman"/>
                <w:sz w:val="24"/>
              </w:rPr>
              <w:t>50 €</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738" w:type="dxa"/>
            <w:shd w:val="clear" w:color="auto" w:fill="auto"/>
            <w:vAlign w:val="bottom"/>
          </w:tcPr>
          <w:p w:rsidR="00612563" w:rsidRDefault="00DF7CAB">
            <w:pPr>
              <w:spacing w:line="0" w:lineRule="atLeast"/>
              <w:ind w:left="60"/>
              <w:rPr>
                <w:rFonts w:ascii="Times New Roman" w:eastAsia="Times New Roman" w:hAnsi="Times New Roman"/>
                <w:sz w:val="24"/>
              </w:rPr>
            </w:pPr>
            <w:r>
              <w:rPr>
                <w:rFonts w:ascii="Times New Roman" w:eastAsia="Times New Roman" w:hAnsi="Times New Roman"/>
                <w:sz w:val="24"/>
              </w:rPr>
              <w:t>2500 €</w:t>
            </w:r>
          </w:p>
        </w:tc>
      </w:tr>
      <w:tr w:rsidR="00612563" w:rsidTr="00676C61">
        <w:trPr>
          <w:trHeight w:val="294"/>
        </w:trPr>
        <w:tc>
          <w:tcPr>
            <w:tcW w:w="1567" w:type="dxa"/>
            <w:tcBorders>
              <w:top w:val="single" w:sz="8" w:space="0" w:color="auto"/>
              <w:bottom w:val="single" w:sz="8" w:space="0" w:color="auto"/>
            </w:tcBorders>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50001</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863" w:type="dxa"/>
            <w:gridSpan w:val="2"/>
            <w:tcBorders>
              <w:top w:val="single" w:sz="8" w:space="0" w:color="auto"/>
              <w:bottom w:val="single" w:sz="8" w:space="0" w:color="auto"/>
            </w:tcBorders>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100000</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tcBorders>
              <w:top w:val="single" w:sz="8" w:space="0" w:color="auto"/>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466" w:type="dxa"/>
            <w:tcBorders>
              <w:top w:val="single" w:sz="8" w:space="0" w:color="auto"/>
              <w:bottom w:val="single" w:sz="8" w:space="0" w:color="auto"/>
            </w:tcBorders>
            <w:shd w:val="clear" w:color="auto" w:fill="auto"/>
            <w:vAlign w:val="bottom"/>
          </w:tcPr>
          <w:p w:rsidR="00612563" w:rsidRDefault="00DF7CAB">
            <w:pPr>
              <w:spacing w:line="0" w:lineRule="atLeast"/>
              <w:ind w:left="80"/>
              <w:rPr>
                <w:rFonts w:ascii="Times New Roman" w:eastAsia="Times New Roman" w:hAnsi="Times New Roman"/>
                <w:sz w:val="24"/>
              </w:rPr>
            </w:pPr>
            <w:r>
              <w:rPr>
                <w:rFonts w:ascii="Times New Roman" w:eastAsia="Times New Roman" w:hAnsi="Times New Roman"/>
                <w:sz w:val="24"/>
              </w:rPr>
              <w:t>20 €</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tcBorders>
              <w:top w:val="single" w:sz="8" w:space="0" w:color="auto"/>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738" w:type="dxa"/>
            <w:tcBorders>
              <w:top w:val="single" w:sz="8" w:space="0" w:color="auto"/>
              <w:bottom w:val="single" w:sz="8" w:space="0" w:color="auto"/>
            </w:tcBorders>
            <w:shd w:val="clear" w:color="auto" w:fill="auto"/>
            <w:vAlign w:val="bottom"/>
          </w:tcPr>
          <w:p w:rsidR="00612563" w:rsidRDefault="00DF7CAB">
            <w:pPr>
              <w:spacing w:line="0" w:lineRule="atLeast"/>
              <w:ind w:left="60"/>
              <w:rPr>
                <w:rFonts w:ascii="Times New Roman" w:eastAsia="Times New Roman" w:hAnsi="Times New Roman"/>
                <w:sz w:val="24"/>
              </w:rPr>
            </w:pPr>
            <w:r>
              <w:rPr>
                <w:rFonts w:ascii="Times New Roman" w:eastAsia="Times New Roman" w:hAnsi="Times New Roman"/>
                <w:sz w:val="24"/>
              </w:rPr>
              <w:t>3500 €</w:t>
            </w:r>
          </w:p>
        </w:tc>
      </w:tr>
      <w:tr w:rsidR="00612563" w:rsidTr="00676C61">
        <w:trPr>
          <w:trHeight w:val="294"/>
        </w:trPr>
        <w:tc>
          <w:tcPr>
            <w:tcW w:w="1567" w:type="dxa"/>
            <w:tcBorders>
              <w:bottom w:val="single" w:sz="8" w:space="0" w:color="auto"/>
            </w:tcBorders>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100001</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863" w:type="dxa"/>
            <w:gridSpan w:val="2"/>
            <w:tcBorders>
              <w:bottom w:val="single" w:sz="8" w:space="0" w:color="auto"/>
            </w:tcBorders>
            <w:shd w:val="clear" w:color="auto" w:fill="auto"/>
            <w:vAlign w:val="bottom"/>
          </w:tcPr>
          <w:p w:rsidR="00612563" w:rsidRDefault="00DF7CAB">
            <w:pPr>
              <w:spacing w:line="0" w:lineRule="atLeast"/>
              <w:ind w:left="100"/>
              <w:rPr>
                <w:rFonts w:ascii="Times New Roman" w:eastAsia="Times New Roman" w:hAnsi="Times New Roman"/>
                <w:sz w:val="24"/>
              </w:rPr>
            </w:pPr>
            <w:r>
              <w:rPr>
                <w:rFonts w:ascii="Times New Roman" w:eastAsia="Times New Roman" w:hAnsi="Times New Roman"/>
                <w:sz w:val="24"/>
              </w:rPr>
              <w:t>200000</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466" w:type="dxa"/>
            <w:tcBorders>
              <w:bottom w:val="single" w:sz="8" w:space="0" w:color="auto"/>
            </w:tcBorders>
            <w:shd w:val="clear" w:color="auto" w:fill="auto"/>
            <w:vAlign w:val="bottom"/>
          </w:tcPr>
          <w:p w:rsidR="00612563" w:rsidRDefault="00DF7CAB">
            <w:pPr>
              <w:spacing w:line="0" w:lineRule="atLeast"/>
              <w:ind w:left="80"/>
              <w:rPr>
                <w:rFonts w:ascii="Times New Roman" w:eastAsia="Times New Roman" w:hAnsi="Times New Roman"/>
                <w:sz w:val="24"/>
              </w:rPr>
            </w:pPr>
            <w:r>
              <w:rPr>
                <w:rFonts w:ascii="Times New Roman" w:eastAsia="Times New Roman" w:hAnsi="Times New Roman"/>
                <w:sz w:val="24"/>
              </w:rPr>
              <w:t>10 €</w:t>
            </w:r>
          </w:p>
        </w:tc>
        <w:tc>
          <w:tcPr>
            <w:tcW w:w="20" w:type="dxa"/>
            <w:shd w:val="clear" w:color="auto" w:fill="auto"/>
            <w:vAlign w:val="bottom"/>
          </w:tcPr>
          <w:p w:rsidR="00612563" w:rsidRDefault="00612563">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4"/>
              </w:rPr>
            </w:pPr>
          </w:p>
        </w:tc>
        <w:tc>
          <w:tcPr>
            <w:tcW w:w="2738" w:type="dxa"/>
            <w:tcBorders>
              <w:bottom w:val="single" w:sz="8" w:space="0" w:color="auto"/>
            </w:tcBorders>
            <w:shd w:val="clear" w:color="auto" w:fill="auto"/>
            <w:vAlign w:val="bottom"/>
          </w:tcPr>
          <w:p w:rsidR="00612563" w:rsidRDefault="00DF7CAB">
            <w:pPr>
              <w:spacing w:line="0" w:lineRule="atLeast"/>
              <w:ind w:left="60"/>
              <w:rPr>
                <w:rFonts w:ascii="Times New Roman" w:eastAsia="Times New Roman" w:hAnsi="Times New Roman"/>
                <w:sz w:val="24"/>
              </w:rPr>
            </w:pPr>
            <w:r>
              <w:rPr>
                <w:rFonts w:ascii="Times New Roman" w:eastAsia="Times New Roman" w:hAnsi="Times New Roman"/>
                <w:sz w:val="24"/>
              </w:rPr>
              <w:t>4500 €</w:t>
            </w:r>
          </w:p>
        </w:tc>
      </w:tr>
      <w:tr w:rsidR="00612563" w:rsidTr="00676C61">
        <w:trPr>
          <w:trHeight w:val="288"/>
        </w:trPr>
        <w:tc>
          <w:tcPr>
            <w:tcW w:w="1567" w:type="dxa"/>
            <w:tcBorders>
              <w:bottom w:val="single" w:sz="8" w:space="0" w:color="auto"/>
            </w:tcBorders>
            <w:shd w:val="clear" w:color="auto" w:fill="auto"/>
            <w:vAlign w:val="bottom"/>
          </w:tcPr>
          <w:p w:rsidR="00612563" w:rsidRDefault="00DF7CAB">
            <w:pPr>
              <w:spacing w:line="273" w:lineRule="exact"/>
              <w:ind w:left="100"/>
              <w:rPr>
                <w:rFonts w:ascii="Times New Roman" w:eastAsia="Times New Roman" w:hAnsi="Times New Roman"/>
                <w:sz w:val="24"/>
              </w:rPr>
            </w:pPr>
            <w:r>
              <w:rPr>
                <w:rFonts w:ascii="Times New Roman" w:eastAsia="Times New Roman" w:hAnsi="Times New Roman"/>
                <w:sz w:val="24"/>
              </w:rPr>
              <w:t>200001</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842"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466" w:type="dxa"/>
            <w:tcBorders>
              <w:bottom w:val="single" w:sz="8" w:space="0" w:color="auto"/>
            </w:tcBorders>
            <w:shd w:val="clear" w:color="auto" w:fill="auto"/>
            <w:vAlign w:val="bottom"/>
          </w:tcPr>
          <w:p w:rsidR="00612563" w:rsidRDefault="00DF7CAB">
            <w:pPr>
              <w:spacing w:line="273" w:lineRule="exact"/>
              <w:ind w:left="80"/>
              <w:rPr>
                <w:rFonts w:ascii="Times New Roman" w:eastAsia="Times New Roman" w:hAnsi="Times New Roman"/>
                <w:sz w:val="24"/>
              </w:rPr>
            </w:pPr>
            <w:r>
              <w:rPr>
                <w:rFonts w:ascii="Times New Roman" w:eastAsia="Times New Roman" w:hAnsi="Times New Roman"/>
                <w:sz w:val="24"/>
              </w:rPr>
              <w:t>5 €</w:t>
            </w:r>
          </w:p>
        </w:tc>
        <w:tc>
          <w:tcPr>
            <w:tcW w:w="20" w:type="dxa"/>
            <w:shd w:val="clear" w:color="auto" w:fill="auto"/>
            <w:vAlign w:val="bottom"/>
          </w:tcPr>
          <w:p w:rsidR="00612563" w:rsidRDefault="00612563">
            <w:pPr>
              <w:spacing w:line="0" w:lineRule="atLeast"/>
              <w:rPr>
                <w:rFonts w:ascii="Times New Roman" w:eastAsia="Times New Roman" w:hAnsi="Times New Roman"/>
                <w:sz w:val="23"/>
              </w:rPr>
            </w:pPr>
          </w:p>
        </w:tc>
        <w:tc>
          <w:tcPr>
            <w:tcW w:w="20"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c>
          <w:tcPr>
            <w:tcW w:w="2738" w:type="dxa"/>
            <w:tcBorders>
              <w:bottom w:val="single" w:sz="8" w:space="0" w:color="auto"/>
            </w:tcBorders>
            <w:shd w:val="clear" w:color="auto" w:fill="auto"/>
            <w:vAlign w:val="bottom"/>
          </w:tcPr>
          <w:p w:rsidR="00612563" w:rsidRDefault="00612563">
            <w:pPr>
              <w:spacing w:line="0" w:lineRule="atLeast"/>
              <w:rPr>
                <w:rFonts w:ascii="Times New Roman" w:eastAsia="Times New Roman" w:hAnsi="Times New Roman"/>
                <w:sz w:val="23"/>
              </w:rPr>
            </w:pPr>
          </w:p>
        </w:tc>
      </w:tr>
    </w:tbl>
    <w:p w:rsidR="00612563" w:rsidRDefault="00612563">
      <w:pPr>
        <w:spacing w:line="258" w:lineRule="exact"/>
        <w:rPr>
          <w:rFonts w:ascii="Times New Roman" w:eastAsia="Times New Roman" w:hAnsi="Times New Roman"/>
        </w:rPr>
      </w:pPr>
    </w:p>
    <w:p w:rsidR="00612563" w:rsidRDefault="00DF7CAB">
      <w:pPr>
        <w:spacing w:line="278" w:lineRule="auto"/>
        <w:ind w:right="100"/>
        <w:rPr>
          <w:rFonts w:ascii="Times New Roman" w:eastAsia="Times New Roman" w:hAnsi="Times New Roman"/>
          <w:sz w:val="24"/>
        </w:rPr>
      </w:pPr>
      <w:r>
        <w:rPr>
          <w:rFonts w:ascii="Times New Roman" w:eastAsia="Times New Roman" w:hAnsi="Times New Roman"/>
          <w:b/>
          <w:sz w:val="24"/>
        </w:rPr>
        <w:t xml:space="preserve">Table 2 </w:t>
      </w:r>
      <w:r w:rsidR="004B0929">
        <w:rPr>
          <w:rFonts w:ascii="Times New Roman" w:eastAsia="Times New Roman" w:hAnsi="Times New Roman"/>
          <w:b/>
          <w:sz w:val="24"/>
        </w:rPr>
        <w:t>–</w:t>
      </w:r>
      <w:r>
        <w:rPr>
          <w:rFonts w:ascii="Times New Roman" w:eastAsia="Times New Roman" w:hAnsi="Times New Roman"/>
          <w:sz w:val="24"/>
        </w:rPr>
        <w:t>Service fees per country</w:t>
      </w:r>
      <w:r w:rsidR="0035694F">
        <w:rPr>
          <w:rFonts w:ascii="Times New Roman" w:eastAsia="Times New Roman" w:hAnsi="Times New Roman"/>
          <w:sz w:val="24"/>
        </w:rPr>
        <w:t>.</w:t>
      </w:r>
      <w:r>
        <w:rPr>
          <w:rFonts w:ascii="Times New Roman" w:eastAsia="Times New Roman" w:hAnsi="Times New Roman"/>
          <w:sz w:val="24"/>
        </w:rPr>
        <w:t xml:space="preserve"> </w:t>
      </w:r>
      <w:r w:rsidR="0035694F">
        <w:rPr>
          <w:rFonts w:ascii="Times New Roman" w:eastAsia="Times New Roman" w:hAnsi="Times New Roman"/>
          <w:sz w:val="24"/>
        </w:rPr>
        <w:t>C</w:t>
      </w:r>
      <w:r>
        <w:rPr>
          <w:rFonts w:ascii="Times New Roman" w:eastAsia="Times New Roman" w:hAnsi="Times New Roman"/>
          <w:sz w:val="24"/>
        </w:rPr>
        <w:t>omposed by a fixed base (€2500) plus a variable part related</w:t>
      </w:r>
      <w:r>
        <w:rPr>
          <w:rFonts w:ascii="Times New Roman" w:eastAsia="Times New Roman" w:hAnsi="Times New Roman"/>
          <w:b/>
          <w:sz w:val="24"/>
        </w:rPr>
        <w:t xml:space="preserve"> </w:t>
      </w:r>
      <w:r>
        <w:rPr>
          <w:rFonts w:ascii="Times New Roman" w:eastAsia="Times New Roman" w:hAnsi="Times New Roman"/>
          <w:sz w:val="24"/>
        </w:rPr>
        <w:t>to the size of the cow population</w:t>
      </w:r>
      <w:r w:rsidR="0035694F">
        <w:rPr>
          <w:rFonts w:ascii="Times New Roman" w:eastAsia="Times New Roman" w:hAnsi="Times New Roman"/>
          <w:sz w:val="24"/>
        </w:rPr>
        <w:t xml:space="preserve"> and a credit related to the contribution of reference sires’ genotypes</w:t>
      </w:r>
      <w:r>
        <w:rPr>
          <w:rFonts w:ascii="Times New Roman" w:eastAsia="Times New Roman" w:hAnsi="Times New Roman"/>
          <w:sz w:val="24"/>
        </w:rPr>
        <w:t>.</w:t>
      </w:r>
    </w:p>
    <w:p w:rsidR="00612563" w:rsidRDefault="00612563">
      <w:pPr>
        <w:spacing w:line="200" w:lineRule="exact"/>
        <w:rPr>
          <w:rFonts w:ascii="Times New Roman" w:eastAsia="Times New Roman" w:hAnsi="Times New Roman"/>
        </w:rPr>
      </w:pPr>
    </w:p>
    <w:p w:rsidR="00612563" w:rsidRDefault="00612563">
      <w:pPr>
        <w:spacing w:line="212" w:lineRule="exact"/>
        <w:rPr>
          <w:rFonts w:ascii="Times New Roman" w:eastAsia="Times New Roman" w:hAnsi="Times New Roman"/>
        </w:rPr>
      </w:pPr>
    </w:p>
    <w:tbl>
      <w:tblPr>
        <w:tblW w:w="9613" w:type="dxa"/>
        <w:tblInd w:w="20" w:type="dxa"/>
        <w:tblLayout w:type="fixed"/>
        <w:tblCellMar>
          <w:left w:w="0" w:type="dxa"/>
          <w:right w:w="0" w:type="dxa"/>
        </w:tblCellMar>
        <w:tblLook w:val="0000" w:firstRow="0" w:lastRow="0" w:firstColumn="0" w:lastColumn="0" w:noHBand="0" w:noVBand="0"/>
      </w:tblPr>
      <w:tblGrid>
        <w:gridCol w:w="1799"/>
        <w:gridCol w:w="20"/>
        <w:gridCol w:w="3204"/>
        <w:gridCol w:w="20"/>
        <w:gridCol w:w="1524"/>
        <w:gridCol w:w="1523"/>
        <w:gridCol w:w="1523"/>
      </w:tblGrid>
      <w:tr w:rsidR="0035694F" w:rsidTr="00423A8A">
        <w:trPr>
          <w:trHeight w:val="319"/>
        </w:trPr>
        <w:tc>
          <w:tcPr>
            <w:tcW w:w="1799" w:type="dxa"/>
            <w:shd w:val="clear" w:color="auto" w:fill="auto"/>
            <w:vAlign w:val="bottom"/>
          </w:tcPr>
          <w:p w:rsidR="0035694F" w:rsidRDefault="0035694F">
            <w:pPr>
              <w:spacing w:line="0" w:lineRule="atLeast"/>
              <w:ind w:left="100"/>
              <w:rPr>
                <w:rFonts w:ascii="Times New Roman" w:eastAsia="Times New Roman" w:hAnsi="Times New Roman"/>
                <w:b/>
                <w:sz w:val="24"/>
              </w:rPr>
            </w:pPr>
            <w:r>
              <w:rPr>
                <w:rFonts w:ascii="Times New Roman" w:eastAsia="Times New Roman" w:hAnsi="Times New Roman"/>
                <w:b/>
                <w:sz w:val="24"/>
              </w:rPr>
              <w:t>Country</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3204" w:type="dxa"/>
            <w:shd w:val="clear" w:color="auto" w:fill="auto"/>
            <w:vAlign w:val="bottom"/>
          </w:tcPr>
          <w:p w:rsidR="0035694F" w:rsidRDefault="0035694F">
            <w:pPr>
              <w:spacing w:line="0" w:lineRule="atLeast"/>
              <w:ind w:left="80"/>
              <w:rPr>
                <w:rFonts w:ascii="Times New Roman" w:eastAsia="Times New Roman" w:hAnsi="Times New Roman"/>
                <w:b/>
                <w:sz w:val="24"/>
              </w:rPr>
            </w:pPr>
            <w:r>
              <w:rPr>
                <w:rFonts w:ascii="Times New Roman" w:eastAsia="Times New Roman" w:hAnsi="Times New Roman"/>
                <w:b/>
                <w:sz w:val="24"/>
              </w:rPr>
              <w:t>Milk-recorded Holsteins*</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1524" w:type="dxa"/>
            <w:shd w:val="clear" w:color="auto" w:fill="auto"/>
            <w:vAlign w:val="bottom"/>
          </w:tcPr>
          <w:p w:rsidR="0035694F" w:rsidRDefault="0035694F">
            <w:pPr>
              <w:spacing w:line="0" w:lineRule="atLeast"/>
              <w:jc w:val="right"/>
              <w:rPr>
                <w:rFonts w:ascii="Times New Roman" w:eastAsia="Times New Roman" w:hAnsi="Times New Roman"/>
                <w:b/>
                <w:sz w:val="24"/>
              </w:rPr>
            </w:pPr>
            <w:r>
              <w:rPr>
                <w:rFonts w:ascii="Times New Roman" w:eastAsia="Times New Roman" w:hAnsi="Times New Roman"/>
                <w:b/>
                <w:sz w:val="24"/>
              </w:rPr>
              <w:t>Base Fee (€)</w:t>
            </w:r>
          </w:p>
        </w:tc>
        <w:tc>
          <w:tcPr>
            <w:tcW w:w="1523" w:type="dxa"/>
          </w:tcPr>
          <w:p w:rsidR="0035694F" w:rsidRDefault="0035694F">
            <w:pPr>
              <w:spacing w:line="0" w:lineRule="atLeast"/>
              <w:jc w:val="right"/>
              <w:rPr>
                <w:rFonts w:ascii="Times New Roman" w:eastAsia="Times New Roman" w:hAnsi="Times New Roman"/>
                <w:b/>
                <w:sz w:val="24"/>
              </w:rPr>
            </w:pPr>
            <w:r>
              <w:rPr>
                <w:rFonts w:ascii="Times New Roman" w:eastAsia="Times New Roman" w:hAnsi="Times New Roman"/>
                <w:b/>
                <w:sz w:val="24"/>
              </w:rPr>
              <w:t>Credit</w:t>
            </w:r>
          </w:p>
        </w:tc>
        <w:tc>
          <w:tcPr>
            <w:tcW w:w="1523" w:type="dxa"/>
          </w:tcPr>
          <w:p w:rsidR="0035694F" w:rsidRDefault="0035694F">
            <w:pPr>
              <w:spacing w:line="0" w:lineRule="atLeast"/>
              <w:jc w:val="right"/>
              <w:rPr>
                <w:rFonts w:ascii="Times New Roman" w:eastAsia="Times New Roman" w:hAnsi="Times New Roman"/>
                <w:b/>
                <w:sz w:val="24"/>
              </w:rPr>
            </w:pPr>
            <w:r>
              <w:rPr>
                <w:rFonts w:ascii="Times New Roman" w:eastAsia="Times New Roman" w:hAnsi="Times New Roman"/>
                <w:b/>
                <w:sz w:val="24"/>
              </w:rPr>
              <w:t>Service Fee</w:t>
            </w:r>
          </w:p>
        </w:tc>
      </w:tr>
      <w:tr w:rsidR="0035694F" w:rsidTr="00423A8A">
        <w:trPr>
          <w:trHeight w:val="164"/>
        </w:trPr>
        <w:tc>
          <w:tcPr>
            <w:tcW w:w="1799" w:type="dxa"/>
            <w:tcBorders>
              <w:bottom w:val="single" w:sz="8" w:space="0" w:color="auto"/>
            </w:tcBorders>
            <w:shd w:val="clear" w:color="auto" w:fill="auto"/>
            <w:vAlign w:val="bottom"/>
          </w:tcPr>
          <w:p w:rsidR="0035694F" w:rsidRDefault="0035694F">
            <w:pPr>
              <w:spacing w:line="0" w:lineRule="atLeast"/>
              <w:rPr>
                <w:rFonts w:ascii="Times New Roman" w:eastAsia="Times New Roman" w:hAnsi="Times New Roman"/>
                <w:sz w:val="14"/>
              </w:rPr>
            </w:pPr>
          </w:p>
        </w:tc>
        <w:tc>
          <w:tcPr>
            <w:tcW w:w="20" w:type="dxa"/>
            <w:shd w:val="clear" w:color="auto" w:fill="auto"/>
            <w:vAlign w:val="bottom"/>
          </w:tcPr>
          <w:p w:rsidR="0035694F" w:rsidRDefault="0035694F">
            <w:pPr>
              <w:spacing w:line="0" w:lineRule="atLeast"/>
              <w:rPr>
                <w:rFonts w:ascii="Times New Roman" w:eastAsia="Times New Roman" w:hAnsi="Times New Roman"/>
                <w:sz w:val="14"/>
              </w:rPr>
            </w:pPr>
          </w:p>
        </w:tc>
        <w:tc>
          <w:tcPr>
            <w:tcW w:w="3204" w:type="dxa"/>
            <w:tcBorders>
              <w:bottom w:val="single" w:sz="8" w:space="0" w:color="auto"/>
            </w:tcBorders>
            <w:shd w:val="clear" w:color="auto" w:fill="auto"/>
            <w:vAlign w:val="bottom"/>
          </w:tcPr>
          <w:p w:rsidR="0035694F" w:rsidRDefault="0035694F">
            <w:pPr>
              <w:spacing w:line="0" w:lineRule="atLeast"/>
              <w:rPr>
                <w:rFonts w:ascii="Times New Roman" w:eastAsia="Times New Roman" w:hAnsi="Times New Roman"/>
                <w:sz w:val="14"/>
              </w:rPr>
            </w:pPr>
          </w:p>
        </w:tc>
        <w:tc>
          <w:tcPr>
            <w:tcW w:w="20" w:type="dxa"/>
            <w:shd w:val="clear" w:color="auto" w:fill="auto"/>
            <w:vAlign w:val="bottom"/>
          </w:tcPr>
          <w:p w:rsidR="0035694F" w:rsidRDefault="0035694F">
            <w:pPr>
              <w:spacing w:line="0" w:lineRule="atLeast"/>
              <w:rPr>
                <w:rFonts w:ascii="Times New Roman" w:eastAsia="Times New Roman" w:hAnsi="Times New Roman"/>
                <w:sz w:val="14"/>
              </w:rPr>
            </w:pPr>
          </w:p>
        </w:tc>
        <w:tc>
          <w:tcPr>
            <w:tcW w:w="1524" w:type="dxa"/>
            <w:tcBorders>
              <w:bottom w:val="single" w:sz="8" w:space="0" w:color="auto"/>
            </w:tcBorders>
            <w:shd w:val="clear" w:color="auto" w:fill="auto"/>
            <w:vAlign w:val="bottom"/>
          </w:tcPr>
          <w:p w:rsidR="0035694F" w:rsidRDefault="0035694F">
            <w:pPr>
              <w:spacing w:line="0" w:lineRule="atLeast"/>
              <w:rPr>
                <w:rFonts w:ascii="Times New Roman" w:eastAsia="Times New Roman" w:hAnsi="Times New Roman"/>
                <w:sz w:val="14"/>
              </w:rPr>
            </w:pPr>
          </w:p>
        </w:tc>
        <w:tc>
          <w:tcPr>
            <w:tcW w:w="1523" w:type="dxa"/>
            <w:tcBorders>
              <w:bottom w:val="single" w:sz="8" w:space="0" w:color="auto"/>
            </w:tcBorders>
          </w:tcPr>
          <w:p w:rsidR="0035694F" w:rsidRDefault="0035694F">
            <w:pPr>
              <w:spacing w:line="0" w:lineRule="atLeast"/>
              <w:rPr>
                <w:rFonts w:ascii="Times New Roman" w:eastAsia="Times New Roman" w:hAnsi="Times New Roman"/>
                <w:sz w:val="14"/>
              </w:rPr>
            </w:pPr>
          </w:p>
        </w:tc>
        <w:tc>
          <w:tcPr>
            <w:tcW w:w="1523" w:type="dxa"/>
            <w:tcBorders>
              <w:bottom w:val="single" w:sz="8" w:space="0" w:color="auto"/>
            </w:tcBorders>
          </w:tcPr>
          <w:p w:rsidR="0035694F" w:rsidRDefault="0035694F">
            <w:pPr>
              <w:spacing w:line="0" w:lineRule="atLeast"/>
              <w:rPr>
                <w:rFonts w:ascii="Times New Roman" w:eastAsia="Times New Roman" w:hAnsi="Times New Roman"/>
                <w:sz w:val="14"/>
              </w:rPr>
            </w:pPr>
          </w:p>
        </w:tc>
      </w:tr>
      <w:tr w:rsidR="0035694F" w:rsidTr="00423A8A">
        <w:trPr>
          <w:trHeight w:val="293"/>
        </w:trPr>
        <w:tc>
          <w:tcPr>
            <w:tcW w:w="1799" w:type="dxa"/>
            <w:shd w:val="clear" w:color="auto" w:fill="auto"/>
            <w:vAlign w:val="bottom"/>
          </w:tcPr>
          <w:p w:rsidR="0035694F" w:rsidRDefault="0035694F">
            <w:pPr>
              <w:spacing w:line="0" w:lineRule="atLeast"/>
              <w:ind w:left="100"/>
              <w:rPr>
                <w:rFonts w:ascii="Times New Roman" w:eastAsia="Times New Roman" w:hAnsi="Times New Roman"/>
                <w:sz w:val="24"/>
              </w:rPr>
            </w:pPr>
            <w:r>
              <w:rPr>
                <w:rFonts w:ascii="Times New Roman" w:eastAsia="Times New Roman" w:hAnsi="Times New Roman"/>
                <w:sz w:val="24"/>
              </w:rPr>
              <w:t>Ireland</w:t>
            </w:r>
          </w:p>
        </w:tc>
        <w:tc>
          <w:tcPr>
            <w:tcW w:w="3224" w:type="dxa"/>
            <w:gridSpan w:val="2"/>
            <w:shd w:val="clear" w:color="auto" w:fill="auto"/>
            <w:vAlign w:val="bottom"/>
          </w:tcPr>
          <w:p w:rsidR="0035694F" w:rsidRDefault="0035694F">
            <w:pPr>
              <w:spacing w:line="0" w:lineRule="atLeast"/>
              <w:jc w:val="right"/>
              <w:rPr>
                <w:rFonts w:ascii="Times New Roman" w:eastAsia="Times New Roman" w:hAnsi="Times New Roman"/>
                <w:sz w:val="24"/>
              </w:rPr>
            </w:pPr>
            <w:r>
              <w:rPr>
                <w:rFonts w:ascii="Times New Roman" w:eastAsia="Times New Roman" w:hAnsi="Times New Roman"/>
                <w:sz w:val="24"/>
              </w:rPr>
              <w:t>700.038</w:t>
            </w:r>
          </w:p>
        </w:tc>
        <w:tc>
          <w:tcPr>
            <w:tcW w:w="1544" w:type="dxa"/>
            <w:gridSpan w:val="2"/>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9.500</w:t>
            </w:r>
          </w:p>
        </w:tc>
        <w:tc>
          <w:tcPr>
            <w:tcW w:w="1523" w:type="dxa"/>
          </w:tcPr>
          <w:p w:rsidR="0035694F" w:rsidRPr="00392F2D" w:rsidRDefault="00676C61" w:rsidP="00D4180A">
            <w:pPr>
              <w:spacing w:line="0" w:lineRule="atLeast"/>
              <w:jc w:val="right"/>
              <w:rPr>
                <w:rFonts w:ascii="Times New Roman" w:eastAsia="Times New Roman" w:hAnsi="Times New Roman"/>
                <w:sz w:val="24"/>
              </w:rPr>
            </w:pPr>
            <w:r>
              <w:rPr>
                <w:rFonts w:ascii="Times New Roman" w:eastAsia="Times New Roman" w:hAnsi="Times New Roman"/>
                <w:sz w:val="24"/>
              </w:rPr>
              <w:t>7</w:t>
            </w:r>
            <w:r w:rsidR="00D4180A">
              <w:rPr>
                <w:rFonts w:ascii="Times New Roman" w:eastAsia="Times New Roman" w:hAnsi="Times New Roman"/>
                <w:sz w:val="24"/>
              </w:rPr>
              <w:t>19</w:t>
            </w:r>
          </w:p>
        </w:tc>
        <w:tc>
          <w:tcPr>
            <w:tcW w:w="1523" w:type="dxa"/>
          </w:tcPr>
          <w:p w:rsidR="0035694F" w:rsidRPr="00676C61" w:rsidRDefault="00423A8A" w:rsidP="00D4180A">
            <w:pPr>
              <w:spacing w:line="0" w:lineRule="atLeast"/>
              <w:jc w:val="right"/>
              <w:rPr>
                <w:rFonts w:ascii="Times New Roman" w:eastAsia="Times New Roman" w:hAnsi="Times New Roman"/>
                <w:b/>
                <w:sz w:val="24"/>
              </w:rPr>
            </w:pPr>
            <w:r>
              <w:rPr>
                <w:rFonts w:ascii="Times New Roman" w:eastAsia="Times New Roman" w:hAnsi="Times New Roman"/>
                <w:b/>
                <w:sz w:val="24"/>
              </w:rPr>
              <w:t>8,</w:t>
            </w:r>
            <w:r w:rsidR="00676C61" w:rsidRPr="00676C61">
              <w:rPr>
                <w:rFonts w:ascii="Times New Roman" w:eastAsia="Times New Roman" w:hAnsi="Times New Roman"/>
                <w:b/>
                <w:sz w:val="24"/>
              </w:rPr>
              <w:t>7</w:t>
            </w:r>
            <w:r w:rsidR="00D4180A">
              <w:rPr>
                <w:rFonts w:ascii="Times New Roman" w:eastAsia="Times New Roman" w:hAnsi="Times New Roman"/>
                <w:b/>
                <w:sz w:val="24"/>
              </w:rPr>
              <w:t>81</w:t>
            </w:r>
            <w:r>
              <w:rPr>
                <w:rFonts w:ascii="Times New Roman" w:eastAsia="Times New Roman" w:hAnsi="Times New Roman"/>
                <w:b/>
                <w:sz w:val="24"/>
              </w:rPr>
              <w:t>.00</w:t>
            </w:r>
          </w:p>
        </w:tc>
      </w:tr>
      <w:tr w:rsidR="0035694F" w:rsidTr="00423A8A">
        <w:trPr>
          <w:trHeight w:val="293"/>
        </w:trPr>
        <w:tc>
          <w:tcPr>
            <w:tcW w:w="1799" w:type="dxa"/>
            <w:tcBorders>
              <w:top w:val="single" w:sz="8" w:space="0" w:color="auto"/>
              <w:bottom w:val="single" w:sz="8" w:space="0" w:color="auto"/>
            </w:tcBorders>
            <w:shd w:val="clear" w:color="auto" w:fill="auto"/>
            <w:vAlign w:val="bottom"/>
          </w:tcPr>
          <w:p w:rsidR="0035694F" w:rsidRDefault="0035694F">
            <w:pPr>
              <w:spacing w:line="0" w:lineRule="atLeast"/>
              <w:ind w:left="100"/>
              <w:rPr>
                <w:rFonts w:ascii="Times New Roman" w:eastAsia="Times New Roman" w:hAnsi="Times New Roman"/>
                <w:sz w:val="24"/>
              </w:rPr>
            </w:pPr>
            <w:r>
              <w:rPr>
                <w:rFonts w:ascii="Times New Roman" w:eastAsia="Times New Roman" w:hAnsi="Times New Roman"/>
                <w:sz w:val="24"/>
              </w:rPr>
              <w:t>Israel</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r>
              <w:rPr>
                <w:rFonts w:ascii="Times New Roman" w:eastAsia="Times New Roman" w:hAnsi="Times New Roman"/>
                <w:sz w:val="24"/>
              </w:rPr>
              <w:t>1</w:t>
            </w:r>
          </w:p>
        </w:tc>
        <w:tc>
          <w:tcPr>
            <w:tcW w:w="3204" w:type="dxa"/>
            <w:tcBorders>
              <w:top w:val="single" w:sz="8" w:space="0" w:color="auto"/>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Pr>
                <w:rFonts w:ascii="Times New Roman" w:eastAsia="Times New Roman" w:hAnsi="Times New Roman"/>
                <w:sz w:val="24"/>
              </w:rPr>
              <w:t>118.693</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1524" w:type="dxa"/>
            <w:tcBorders>
              <w:top w:val="single" w:sz="8" w:space="0" w:color="auto"/>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6.187</w:t>
            </w:r>
          </w:p>
        </w:tc>
        <w:tc>
          <w:tcPr>
            <w:tcW w:w="1523" w:type="dxa"/>
            <w:tcBorders>
              <w:top w:val="single" w:sz="8" w:space="0" w:color="auto"/>
              <w:bottom w:val="single" w:sz="8" w:space="0" w:color="auto"/>
            </w:tcBorders>
          </w:tcPr>
          <w:p w:rsidR="0035694F" w:rsidRPr="00392F2D" w:rsidRDefault="00676C61" w:rsidP="00D4180A">
            <w:pPr>
              <w:spacing w:line="0" w:lineRule="atLeast"/>
              <w:jc w:val="right"/>
              <w:rPr>
                <w:rFonts w:ascii="Times New Roman" w:eastAsia="Times New Roman" w:hAnsi="Times New Roman"/>
                <w:sz w:val="24"/>
              </w:rPr>
            </w:pPr>
            <w:r>
              <w:rPr>
                <w:rFonts w:ascii="Times New Roman" w:eastAsia="Times New Roman" w:hAnsi="Times New Roman"/>
                <w:sz w:val="24"/>
              </w:rPr>
              <w:t>5</w:t>
            </w:r>
            <w:r w:rsidR="00D4180A">
              <w:rPr>
                <w:rFonts w:ascii="Times New Roman" w:eastAsia="Times New Roman" w:hAnsi="Times New Roman"/>
                <w:sz w:val="24"/>
              </w:rPr>
              <w:t>76</w:t>
            </w:r>
          </w:p>
        </w:tc>
        <w:tc>
          <w:tcPr>
            <w:tcW w:w="1523" w:type="dxa"/>
            <w:tcBorders>
              <w:top w:val="single" w:sz="8" w:space="0" w:color="auto"/>
              <w:bottom w:val="single" w:sz="8" w:space="0" w:color="auto"/>
            </w:tcBorders>
          </w:tcPr>
          <w:p w:rsidR="0035694F" w:rsidRPr="00676C61" w:rsidRDefault="00423A8A" w:rsidP="00D4180A">
            <w:pPr>
              <w:spacing w:line="0" w:lineRule="atLeast"/>
              <w:jc w:val="right"/>
              <w:rPr>
                <w:rFonts w:ascii="Times New Roman" w:eastAsia="Times New Roman" w:hAnsi="Times New Roman"/>
                <w:b/>
                <w:sz w:val="24"/>
              </w:rPr>
            </w:pPr>
            <w:r>
              <w:rPr>
                <w:rFonts w:ascii="Times New Roman" w:eastAsia="Times New Roman" w:hAnsi="Times New Roman"/>
                <w:b/>
                <w:sz w:val="24"/>
              </w:rPr>
              <w:t>5,</w:t>
            </w:r>
            <w:r w:rsidR="00676C61" w:rsidRPr="00676C61">
              <w:rPr>
                <w:rFonts w:ascii="Times New Roman" w:eastAsia="Times New Roman" w:hAnsi="Times New Roman"/>
                <w:b/>
                <w:sz w:val="24"/>
              </w:rPr>
              <w:t>6</w:t>
            </w:r>
            <w:r w:rsidR="00D4180A">
              <w:rPr>
                <w:rFonts w:ascii="Times New Roman" w:eastAsia="Times New Roman" w:hAnsi="Times New Roman"/>
                <w:b/>
                <w:sz w:val="24"/>
              </w:rPr>
              <w:t>11</w:t>
            </w:r>
            <w:r>
              <w:rPr>
                <w:rFonts w:ascii="Times New Roman" w:eastAsia="Times New Roman" w:hAnsi="Times New Roman"/>
                <w:b/>
                <w:sz w:val="24"/>
              </w:rPr>
              <w:t>.00</w:t>
            </w:r>
          </w:p>
        </w:tc>
      </w:tr>
      <w:tr w:rsidR="0035694F" w:rsidTr="00423A8A">
        <w:trPr>
          <w:trHeight w:val="288"/>
        </w:trPr>
        <w:tc>
          <w:tcPr>
            <w:tcW w:w="1799" w:type="dxa"/>
            <w:tcBorders>
              <w:bottom w:val="single" w:sz="8" w:space="0" w:color="auto"/>
            </w:tcBorders>
            <w:shd w:val="clear" w:color="auto" w:fill="auto"/>
            <w:vAlign w:val="bottom"/>
          </w:tcPr>
          <w:p w:rsidR="0035694F" w:rsidRDefault="0035694F">
            <w:pPr>
              <w:spacing w:line="0" w:lineRule="atLeast"/>
              <w:ind w:left="100"/>
              <w:rPr>
                <w:rFonts w:ascii="Times New Roman" w:eastAsia="Times New Roman" w:hAnsi="Times New Roman"/>
                <w:sz w:val="24"/>
              </w:rPr>
            </w:pPr>
            <w:r>
              <w:rPr>
                <w:rFonts w:ascii="Times New Roman" w:eastAsia="Times New Roman" w:hAnsi="Times New Roman"/>
                <w:sz w:val="24"/>
              </w:rPr>
              <w:t>Slovenia</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3204" w:type="dxa"/>
            <w:tcBorders>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33.532</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1524" w:type="dxa"/>
            <w:tcBorders>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4.177</w:t>
            </w:r>
          </w:p>
        </w:tc>
        <w:tc>
          <w:tcPr>
            <w:tcW w:w="1523" w:type="dxa"/>
            <w:tcBorders>
              <w:bottom w:val="single" w:sz="8" w:space="0" w:color="auto"/>
            </w:tcBorders>
          </w:tcPr>
          <w:p w:rsidR="0035694F" w:rsidRPr="00392F2D" w:rsidRDefault="00676C61" w:rsidP="00D4180A">
            <w:pPr>
              <w:spacing w:line="0" w:lineRule="atLeast"/>
              <w:jc w:val="right"/>
              <w:rPr>
                <w:rFonts w:ascii="Times New Roman" w:eastAsia="Times New Roman" w:hAnsi="Times New Roman"/>
                <w:sz w:val="24"/>
              </w:rPr>
            </w:pPr>
            <w:r>
              <w:rPr>
                <w:rFonts w:ascii="Times New Roman" w:eastAsia="Times New Roman" w:hAnsi="Times New Roman"/>
                <w:sz w:val="24"/>
              </w:rPr>
              <w:t>-</w:t>
            </w:r>
            <w:r w:rsidR="00D4180A">
              <w:rPr>
                <w:rFonts w:ascii="Times New Roman" w:eastAsia="Times New Roman" w:hAnsi="Times New Roman"/>
                <w:sz w:val="24"/>
              </w:rPr>
              <w:t>416</w:t>
            </w:r>
          </w:p>
        </w:tc>
        <w:tc>
          <w:tcPr>
            <w:tcW w:w="1523" w:type="dxa"/>
            <w:tcBorders>
              <w:bottom w:val="single" w:sz="8" w:space="0" w:color="auto"/>
            </w:tcBorders>
          </w:tcPr>
          <w:p w:rsidR="0035694F" w:rsidRPr="00676C61" w:rsidRDefault="00423A8A" w:rsidP="00D4180A">
            <w:pPr>
              <w:spacing w:line="0" w:lineRule="atLeast"/>
              <w:jc w:val="right"/>
              <w:rPr>
                <w:rFonts w:ascii="Times New Roman" w:eastAsia="Times New Roman" w:hAnsi="Times New Roman"/>
                <w:b/>
                <w:sz w:val="24"/>
              </w:rPr>
            </w:pPr>
            <w:r>
              <w:rPr>
                <w:rFonts w:ascii="Times New Roman" w:eastAsia="Times New Roman" w:hAnsi="Times New Roman"/>
                <w:b/>
                <w:sz w:val="24"/>
              </w:rPr>
              <w:t>4,</w:t>
            </w:r>
            <w:r w:rsidR="00D4180A">
              <w:rPr>
                <w:rFonts w:ascii="Times New Roman" w:eastAsia="Times New Roman" w:hAnsi="Times New Roman"/>
                <w:b/>
                <w:sz w:val="24"/>
              </w:rPr>
              <w:t>593</w:t>
            </w:r>
            <w:r>
              <w:rPr>
                <w:rFonts w:ascii="Times New Roman" w:eastAsia="Times New Roman" w:hAnsi="Times New Roman"/>
                <w:b/>
                <w:sz w:val="24"/>
              </w:rPr>
              <w:t>.00</w:t>
            </w:r>
          </w:p>
        </w:tc>
      </w:tr>
      <w:tr w:rsidR="0035694F" w:rsidTr="00423A8A">
        <w:trPr>
          <w:trHeight w:val="293"/>
        </w:trPr>
        <w:tc>
          <w:tcPr>
            <w:tcW w:w="1799" w:type="dxa"/>
            <w:tcBorders>
              <w:top w:val="single" w:sz="8" w:space="0" w:color="auto"/>
              <w:bottom w:val="single" w:sz="8" w:space="0" w:color="auto"/>
            </w:tcBorders>
            <w:shd w:val="clear" w:color="auto" w:fill="auto"/>
            <w:vAlign w:val="bottom"/>
          </w:tcPr>
          <w:p w:rsidR="0035694F" w:rsidRDefault="0035694F">
            <w:pPr>
              <w:spacing w:line="0" w:lineRule="atLeast"/>
              <w:ind w:left="100"/>
              <w:rPr>
                <w:rFonts w:ascii="Times New Roman" w:eastAsia="Times New Roman" w:hAnsi="Times New Roman"/>
                <w:sz w:val="24"/>
              </w:rPr>
            </w:pPr>
            <w:r>
              <w:rPr>
                <w:rFonts w:ascii="Times New Roman" w:eastAsia="Times New Roman" w:hAnsi="Times New Roman"/>
                <w:sz w:val="24"/>
              </w:rPr>
              <w:t>South Korea</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3204" w:type="dxa"/>
            <w:tcBorders>
              <w:top w:val="single" w:sz="8" w:space="0" w:color="auto"/>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151.390</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1524" w:type="dxa"/>
            <w:tcBorders>
              <w:top w:val="single" w:sz="8" w:space="0" w:color="auto"/>
              <w:bottom w:val="single" w:sz="8" w:space="0" w:color="auto"/>
            </w:tcBorders>
            <w:shd w:val="clear" w:color="auto" w:fill="auto"/>
            <w:vAlign w:val="bottom"/>
          </w:tcPr>
          <w:p w:rsidR="0035694F" w:rsidRDefault="0035694F">
            <w:pPr>
              <w:spacing w:line="0" w:lineRule="atLeast"/>
              <w:jc w:val="right"/>
              <w:rPr>
                <w:rFonts w:ascii="Times New Roman" w:eastAsia="Times New Roman" w:hAnsi="Times New Roman"/>
                <w:sz w:val="24"/>
              </w:rPr>
            </w:pPr>
            <w:r w:rsidRPr="00392F2D">
              <w:rPr>
                <w:rFonts w:ascii="Times New Roman" w:eastAsia="Times New Roman" w:hAnsi="Times New Roman"/>
                <w:sz w:val="24"/>
              </w:rPr>
              <w:t>6.514</w:t>
            </w:r>
          </w:p>
        </w:tc>
        <w:tc>
          <w:tcPr>
            <w:tcW w:w="1523" w:type="dxa"/>
            <w:tcBorders>
              <w:top w:val="single" w:sz="8" w:space="0" w:color="auto"/>
              <w:bottom w:val="single" w:sz="8" w:space="0" w:color="auto"/>
            </w:tcBorders>
          </w:tcPr>
          <w:p w:rsidR="0035694F" w:rsidRPr="00392F2D" w:rsidRDefault="00D4180A">
            <w:pPr>
              <w:spacing w:line="0" w:lineRule="atLeast"/>
              <w:jc w:val="right"/>
              <w:rPr>
                <w:rFonts w:ascii="Times New Roman" w:eastAsia="Times New Roman" w:hAnsi="Times New Roman"/>
                <w:sz w:val="24"/>
              </w:rPr>
            </w:pPr>
            <w:r>
              <w:rPr>
                <w:rFonts w:ascii="Times New Roman" w:eastAsia="Times New Roman" w:hAnsi="Times New Roman"/>
                <w:sz w:val="24"/>
              </w:rPr>
              <w:t>-270</w:t>
            </w:r>
          </w:p>
        </w:tc>
        <w:tc>
          <w:tcPr>
            <w:tcW w:w="1523" w:type="dxa"/>
            <w:tcBorders>
              <w:top w:val="single" w:sz="8" w:space="0" w:color="auto"/>
              <w:bottom w:val="single" w:sz="8" w:space="0" w:color="auto"/>
            </w:tcBorders>
          </w:tcPr>
          <w:p w:rsidR="0035694F" w:rsidRPr="00676C61" w:rsidRDefault="00423A8A" w:rsidP="00D4180A">
            <w:pPr>
              <w:spacing w:line="0" w:lineRule="atLeast"/>
              <w:jc w:val="right"/>
              <w:rPr>
                <w:rFonts w:ascii="Times New Roman" w:eastAsia="Times New Roman" w:hAnsi="Times New Roman"/>
                <w:b/>
                <w:sz w:val="24"/>
              </w:rPr>
            </w:pPr>
            <w:r>
              <w:rPr>
                <w:rFonts w:ascii="Times New Roman" w:eastAsia="Times New Roman" w:hAnsi="Times New Roman"/>
                <w:b/>
                <w:sz w:val="24"/>
              </w:rPr>
              <w:t>6,</w:t>
            </w:r>
            <w:r w:rsidR="00D4180A">
              <w:rPr>
                <w:rFonts w:ascii="Times New Roman" w:eastAsia="Times New Roman" w:hAnsi="Times New Roman"/>
                <w:b/>
                <w:sz w:val="24"/>
              </w:rPr>
              <w:t>784</w:t>
            </w:r>
            <w:r>
              <w:rPr>
                <w:rFonts w:ascii="Times New Roman" w:eastAsia="Times New Roman" w:hAnsi="Times New Roman"/>
                <w:b/>
                <w:sz w:val="24"/>
              </w:rPr>
              <w:t>.00</w:t>
            </w:r>
            <w:bookmarkStart w:id="5" w:name="_GoBack"/>
            <w:bookmarkEnd w:id="5"/>
          </w:p>
        </w:tc>
      </w:tr>
      <w:tr w:rsidR="0035694F" w:rsidTr="00423A8A">
        <w:trPr>
          <w:trHeight w:val="395"/>
        </w:trPr>
        <w:tc>
          <w:tcPr>
            <w:tcW w:w="1799" w:type="dxa"/>
            <w:shd w:val="clear" w:color="auto" w:fill="auto"/>
            <w:vAlign w:val="bottom"/>
          </w:tcPr>
          <w:p w:rsidR="0035694F" w:rsidRPr="00676C61" w:rsidRDefault="00676C61">
            <w:pPr>
              <w:spacing w:line="0" w:lineRule="atLeast"/>
              <w:rPr>
                <w:rFonts w:ascii="Times New Roman" w:eastAsia="Times New Roman" w:hAnsi="Times New Roman"/>
                <w:b/>
                <w:sz w:val="24"/>
              </w:rPr>
            </w:pPr>
            <w:r w:rsidRPr="00676C61">
              <w:rPr>
                <w:rFonts w:ascii="Times New Roman" w:eastAsia="Times New Roman" w:hAnsi="Times New Roman"/>
                <w:b/>
                <w:sz w:val="24"/>
              </w:rPr>
              <w:t>Total:</w:t>
            </w:r>
          </w:p>
        </w:tc>
        <w:tc>
          <w:tcPr>
            <w:tcW w:w="20" w:type="dxa"/>
            <w:shd w:val="clear" w:color="auto" w:fill="auto"/>
            <w:vAlign w:val="bottom"/>
          </w:tcPr>
          <w:p w:rsidR="0035694F" w:rsidRDefault="0035694F">
            <w:pPr>
              <w:spacing w:line="0" w:lineRule="atLeast"/>
              <w:rPr>
                <w:rFonts w:ascii="Times New Roman" w:eastAsia="Times New Roman" w:hAnsi="Times New Roman"/>
                <w:sz w:val="24"/>
              </w:rPr>
            </w:pPr>
          </w:p>
        </w:tc>
        <w:tc>
          <w:tcPr>
            <w:tcW w:w="3204" w:type="dxa"/>
            <w:shd w:val="clear" w:color="auto" w:fill="auto"/>
            <w:vAlign w:val="bottom"/>
          </w:tcPr>
          <w:p w:rsidR="0035694F" w:rsidRDefault="0035694F" w:rsidP="00676C61">
            <w:pPr>
              <w:spacing w:line="0" w:lineRule="atLeast"/>
              <w:rPr>
                <w:rFonts w:ascii="Times New Roman" w:eastAsia="Times New Roman" w:hAnsi="Times New Roman"/>
                <w:sz w:val="24"/>
              </w:rPr>
            </w:pPr>
          </w:p>
        </w:tc>
        <w:tc>
          <w:tcPr>
            <w:tcW w:w="1544" w:type="dxa"/>
            <w:gridSpan w:val="2"/>
            <w:shd w:val="clear" w:color="auto" w:fill="auto"/>
            <w:vAlign w:val="bottom"/>
          </w:tcPr>
          <w:p w:rsidR="0035694F" w:rsidRPr="00676C61" w:rsidRDefault="0035694F" w:rsidP="00D4180A">
            <w:pPr>
              <w:spacing w:line="0" w:lineRule="atLeast"/>
              <w:jc w:val="right"/>
              <w:rPr>
                <w:rFonts w:ascii="Times New Roman" w:eastAsia="Times New Roman" w:hAnsi="Times New Roman"/>
                <w:b/>
                <w:sz w:val="24"/>
              </w:rPr>
            </w:pPr>
          </w:p>
        </w:tc>
        <w:tc>
          <w:tcPr>
            <w:tcW w:w="1523" w:type="dxa"/>
          </w:tcPr>
          <w:p w:rsidR="0035694F" w:rsidRDefault="0035694F" w:rsidP="004B0929">
            <w:pPr>
              <w:spacing w:line="0" w:lineRule="atLeast"/>
              <w:jc w:val="right"/>
              <w:rPr>
                <w:rFonts w:ascii="Times New Roman" w:eastAsia="Times New Roman" w:hAnsi="Times New Roman"/>
                <w:sz w:val="24"/>
              </w:rPr>
            </w:pPr>
          </w:p>
        </w:tc>
        <w:tc>
          <w:tcPr>
            <w:tcW w:w="1523" w:type="dxa"/>
          </w:tcPr>
          <w:p w:rsidR="00D4180A" w:rsidRDefault="00D4180A" w:rsidP="004B0929">
            <w:pPr>
              <w:spacing w:line="0" w:lineRule="atLeast"/>
              <w:jc w:val="right"/>
              <w:rPr>
                <w:rFonts w:ascii="Times New Roman" w:eastAsia="Times New Roman" w:hAnsi="Times New Roman"/>
                <w:b/>
                <w:sz w:val="24"/>
              </w:rPr>
            </w:pPr>
          </w:p>
          <w:p w:rsidR="0035694F" w:rsidRDefault="00423A8A" w:rsidP="00423A8A">
            <w:pPr>
              <w:spacing w:line="0" w:lineRule="atLeast"/>
              <w:jc w:val="right"/>
              <w:rPr>
                <w:rFonts w:ascii="Times New Roman" w:eastAsia="Times New Roman" w:hAnsi="Times New Roman"/>
                <w:sz w:val="24"/>
              </w:rPr>
            </w:pPr>
            <w:r>
              <w:rPr>
                <w:rFonts w:ascii="Times New Roman" w:eastAsia="Times New Roman" w:hAnsi="Times New Roman"/>
                <w:b/>
                <w:sz w:val="24"/>
              </w:rPr>
              <w:t>25,769.00</w:t>
            </w:r>
          </w:p>
        </w:tc>
      </w:tr>
    </w:tbl>
    <w:p w:rsidR="0035694F" w:rsidRDefault="0035694F" w:rsidP="004B0929">
      <w:pPr>
        <w:spacing w:line="0" w:lineRule="atLeast"/>
        <w:rPr>
          <w:sz w:val="22"/>
        </w:rPr>
      </w:pPr>
    </w:p>
    <w:p w:rsidR="00612563" w:rsidRDefault="00DF7CAB" w:rsidP="004B0929">
      <w:pPr>
        <w:spacing w:line="0" w:lineRule="atLeast"/>
        <w:rPr>
          <w:rFonts w:ascii="Times New Roman" w:eastAsia="Times New Roman" w:hAnsi="Times New Roman"/>
        </w:rPr>
      </w:pPr>
      <w:r>
        <w:rPr>
          <w:sz w:val="22"/>
        </w:rPr>
        <w:t>*</w:t>
      </w:r>
      <w:r w:rsidR="00392F2D">
        <w:rPr>
          <w:sz w:val="22"/>
        </w:rPr>
        <w:t>2019</w:t>
      </w: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200" w:lineRule="exact"/>
        <w:rPr>
          <w:rFonts w:ascii="Times New Roman" w:eastAsia="Times New Roman" w:hAnsi="Times New Roman"/>
        </w:rPr>
      </w:pPr>
    </w:p>
    <w:p w:rsidR="00612563" w:rsidRDefault="00612563">
      <w:pPr>
        <w:spacing w:line="370" w:lineRule="exact"/>
        <w:rPr>
          <w:rFonts w:ascii="Times New Roman" w:eastAsia="Times New Roman" w:hAnsi="Times New Roman"/>
        </w:rPr>
      </w:pPr>
    </w:p>
    <w:p w:rsidR="00612563" w:rsidRDefault="00DF7CAB">
      <w:pPr>
        <w:spacing w:line="0" w:lineRule="atLeast"/>
        <w:jc w:val="right"/>
        <w:rPr>
          <w:sz w:val="22"/>
        </w:rPr>
      </w:pPr>
      <w:r>
        <w:rPr>
          <w:sz w:val="22"/>
        </w:rPr>
        <w:t>5</w:t>
      </w:r>
    </w:p>
    <w:sectPr w:rsidR="00612563">
      <w:pgSz w:w="12240" w:h="15840"/>
      <w:pgMar w:top="1421" w:right="1440" w:bottom="171"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6334872"/>
    <w:lvl w:ilvl="0" w:tplc="5730560E">
      <w:start w:val="1"/>
      <w:numFmt w:val="bullet"/>
      <w:lvlText w:val="•"/>
      <w:lvlJc w:val="left"/>
    </w:lvl>
    <w:lvl w:ilvl="1" w:tplc="B2F886B2">
      <w:start w:val="1"/>
      <w:numFmt w:val="bullet"/>
      <w:lvlText w:val=""/>
      <w:lvlJc w:val="left"/>
    </w:lvl>
    <w:lvl w:ilvl="2" w:tplc="F27AD7EA">
      <w:start w:val="1"/>
      <w:numFmt w:val="bullet"/>
      <w:lvlText w:val=""/>
      <w:lvlJc w:val="left"/>
    </w:lvl>
    <w:lvl w:ilvl="3" w:tplc="BEA670F6">
      <w:start w:val="1"/>
      <w:numFmt w:val="bullet"/>
      <w:lvlText w:val=""/>
      <w:lvlJc w:val="left"/>
    </w:lvl>
    <w:lvl w:ilvl="4" w:tplc="13C0119E">
      <w:start w:val="1"/>
      <w:numFmt w:val="bullet"/>
      <w:lvlText w:val=""/>
      <w:lvlJc w:val="left"/>
    </w:lvl>
    <w:lvl w:ilvl="5" w:tplc="18C81636">
      <w:start w:val="1"/>
      <w:numFmt w:val="bullet"/>
      <w:lvlText w:val=""/>
      <w:lvlJc w:val="left"/>
    </w:lvl>
    <w:lvl w:ilvl="6" w:tplc="7AEC1448">
      <w:start w:val="1"/>
      <w:numFmt w:val="bullet"/>
      <w:lvlText w:val=""/>
      <w:lvlJc w:val="left"/>
    </w:lvl>
    <w:lvl w:ilvl="7" w:tplc="6906A0AE">
      <w:start w:val="1"/>
      <w:numFmt w:val="bullet"/>
      <w:lvlText w:val=""/>
      <w:lvlJc w:val="left"/>
    </w:lvl>
    <w:lvl w:ilvl="8" w:tplc="BA76BCAA">
      <w:start w:val="1"/>
      <w:numFmt w:val="bullet"/>
      <w:lvlText w:val=""/>
      <w:lvlJc w:val="left"/>
    </w:lvl>
  </w:abstractNum>
  <w:abstractNum w:abstractNumId="1" w15:restartNumberingAfterBreak="0">
    <w:nsid w:val="00000002"/>
    <w:multiLevelType w:val="hybridMultilevel"/>
    <w:tmpl w:val="74B0DC50"/>
    <w:lvl w:ilvl="0" w:tplc="2D90748E">
      <w:start w:val="1"/>
      <w:numFmt w:val="bullet"/>
      <w:lvlText w:val="•"/>
      <w:lvlJc w:val="left"/>
    </w:lvl>
    <w:lvl w:ilvl="1" w:tplc="D944BC50">
      <w:start w:val="1"/>
      <w:numFmt w:val="bullet"/>
      <w:lvlText w:val=""/>
      <w:lvlJc w:val="left"/>
    </w:lvl>
    <w:lvl w:ilvl="2" w:tplc="D4CC1BFA">
      <w:start w:val="1"/>
      <w:numFmt w:val="bullet"/>
      <w:lvlText w:val=""/>
      <w:lvlJc w:val="left"/>
    </w:lvl>
    <w:lvl w:ilvl="3" w:tplc="C38E9EA8">
      <w:start w:val="1"/>
      <w:numFmt w:val="bullet"/>
      <w:lvlText w:val=""/>
      <w:lvlJc w:val="left"/>
    </w:lvl>
    <w:lvl w:ilvl="4" w:tplc="0656783C">
      <w:start w:val="1"/>
      <w:numFmt w:val="bullet"/>
      <w:lvlText w:val=""/>
      <w:lvlJc w:val="left"/>
    </w:lvl>
    <w:lvl w:ilvl="5" w:tplc="30D4B320">
      <w:start w:val="1"/>
      <w:numFmt w:val="bullet"/>
      <w:lvlText w:val=""/>
      <w:lvlJc w:val="left"/>
    </w:lvl>
    <w:lvl w:ilvl="6" w:tplc="518E225C">
      <w:start w:val="1"/>
      <w:numFmt w:val="bullet"/>
      <w:lvlText w:val=""/>
      <w:lvlJc w:val="left"/>
    </w:lvl>
    <w:lvl w:ilvl="7" w:tplc="806C48B0">
      <w:start w:val="1"/>
      <w:numFmt w:val="bullet"/>
      <w:lvlText w:val=""/>
      <w:lvlJc w:val="left"/>
    </w:lvl>
    <w:lvl w:ilvl="8" w:tplc="1FA2F47E">
      <w:start w:val="1"/>
      <w:numFmt w:val="bullet"/>
      <w:lvlText w:val=""/>
      <w:lvlJc w:val="left"/>
    </w:lvl>
  </w:abstractNum>
  <w:abstractNum w:abstractNumId="2" w15:restartNumberingAfterBreak="0">
    <w:nsid w:val="00000003"/>
    <w:multiLevelType w:val="hybridMultilevel"/>
    <w:tmpl w:val="19495CFE"/>
    <w:lvl w:ilvl="0" w:tplc="8EC8F886">
      <w:start w:val="15"/>
      <w:numFmt w:val="lowerLetter"/>
      <w:lvlText w:val="%1"/>
      <w:lvlJc w:val="left"/>
    </w:lvl>
    <w:lvl w:ilvl="1" w:tplc="B4440ADA">
      <w:start w:val="1"/>
      <w:numFmt w:val="bullet"/>
      <w:lvlText w:val=""/>
      <w:lvlJc w:val="left"/>
    </w:lvl>
    <w:lvl w:ilvl="2" w:tplc="901267E2">
      <w:start w:val="1"/>
      <w:numFmt w:val="bullet"/>
      <w:lvlText w:val=""/>
      <w:lvlJc w:val="left"/>
    </w:lvl>
    <w:lvl w:ilvl="3" w:tplc="D92AB5E6">
      <w:start w:val="1"/>
      <w:numFmt w:val="bullet"/>
      <w:lvlText w:val=""/>
      <w:lvlJc w:val="left"/>
    </w:lvl>
    <w:lvl w:ilvl="4" w:tplc="BB90146C">
      <w:start w:val="1"/>
      <w:numFmt w:val="bullet"/>
      <w:lvlText w:val=""/>
      <w:lvlJc w:val="left"/>
    </w:lvl>
    <w:lvl w:ilvl="5" w:tplc="EBE43C4C">
      <w:start w:val="1"/>
      <w:numFmt w:val="bullet"/>
      <w:lvlText w:val=""/>
      <w:lvlJc w:val="left"/>
    </w:lvl>
    <w:lvl w:ilvl="6" w:tplc="A3EC3B86">
      <w:start w:val="1"/>
      <w:numFmt w:val="bullet"/>
      <w:lvlText w:val=""/>
      <w:lvlJc w:val="left"/>
    </w:lvl>
    <w:lvl w:ilvl="7" w:tplc="DE62E488">
      <w:start w:val="1"/>
      <w:numFmt w:val="bullet"/>
      <w:lvlText w:val=""/>
      <w:lvlJc w:val="left"/>
    </w:lvl>
    <w:lvl w:ilvl="8" w:tplc="E4727B9C">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1D"/>
    <w:rsid w:val="00032F6E"/>
    <w:rsid w:val="000E57A2"/>
    <w:rsid w:val="0035694F"/>
    <w:rsid w:val="00362A1D"/>
    <w:rsid w:val="00392F2D"/>
    <w:rsid w:val="00423A8A"/>
    <w:rsid w:val="004B0929"/>
    <w:rsid w:val="005C0C85"/>
    <w:rsid w:val="00612563"/>
    <w:rsid w:val="00635216"/>
    <w:rsid w:val="00676C61"/>
    <w:rsid w:val="00CE67B6"/>
    <w:rsid w:val="00D4180A"/>
    <w:rsid w:val="00D77B8C"/>
    <w:rsid w:val="00DF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23B0BE3"/>
  <w15:chartTrackingRefBased/>
  <w15:docId w15:val="{F634BC9B-6A6F-46E7-9DDE-65F31190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dc:creator>
  <cp:keywords/>
  <cp:lastModifiedBy>Simone Savoia</cp:lastModifiedBy>
  <cp:revision>2</cp:revision>
  <dcterms:created xsi:type="dcterms:W3CDTF">2021-02-17T17:06:00Z</dcterms:created>
  <dcterms:modified xsi:type="dcterms:W3CDTF">2021-02-17T17:06:00Z</dcterms:modified>
</cp:coreProperties>
</file>