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CA1" w:rsidRDefault="0076120F">
      <w:pPr>
        <w:spacing w:line="312" w:lineRule="atLeast"/>
        <w:jc w:val="center"/>
        <w:rPr>
          <w:b/>
          <w:bCs/>
          <w:sz w:val="22"/>
          <w:szCs w:val="22"/>
          <w:lang w:val="en-GB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1191260</wp:posOffset>
                </wp:positionH>
                <wp:positionV relativeFrom="paragraph">
                  <wp:posOffset>-328930</wp:posOffset>
                </wp:positionV>
                <wp:extent cx="3421380" cy="2438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138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CA1" w:rsidRDefault="002E7CA1" w:rsidP="00711E9C">
                            <w:pPr>
                              <w:jc w:val="center"/>
                              <w:rPr>
                                <w:color w:val="FF0000"/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Status as of:</w:t>
                            </w:r>
                            <w:r>
                              <w:rPr>
                                <w:color w:val="FF0000"/>
                                <w:lang w:val="en-GB"/>
                              </w:rPr>
                              <w:t xml:space="preserve"> </w:t>
                            </w:r>
                            <w:r w:rsidR="00711E9C">
                              <w:rPr>
                                <w:color w:val="FF0000"/>
                                <w:lang w:val="en-GB"/>
                              </w:rPr>
                              <w:t>2014-11-16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3.8pt;margin-top:-25.9pt;width:269.4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">
                <v:textbox>
                  <w:txbxContent>
                    <w:p w:rsidR="002E7CA1" w:rsidRDefault="002E7CA1" w:rsidP="00711E9C">
                      <w:pPr>
                        <w:jc w:val="center"/>
                        <w:rPr>
                          <w:color w:val="FF0000"/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Status as of:</w:t>
                      </w:r>
                      <w:r>
                        <w:rPr>
                          <w:color w:val="FF0000"/>
                          <w:lang w:val="en-GB"/>
                        </w:rPr>
                        <w:t xml:space="preserve"> </w:t>
                      </w:r>
                      <w:r w:rsidR="00711E9C">
                        <w:rPr>
                          <w:color w:val="FF0000"/>
                          <w:lang w:val="en-GB"/>
                        </w:rPr>
                        <w:t>2014-11-16</w:t>
                      </w:r>
                    </w:p>
                  </w:txbxContent>
                </v:textbox>
              </v:shape>
            </w:pict>
          </mc:Fallback>
        </mc:AlternateContent>
      </w:r>
    </w:p>
    <w:p w:rsidR="002E7CA1" w:rsidRDefault="002E7CA1">
      <w:pPr>
        <w:spacing w:line="312" w:lineRule="atLeast"/>
        <w:jc w:val="center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DESCRIPTION OF NATIONAL GENET</w:t>
      </w:r>
      <w:bookmarkStart w:id="0" w:name="_GoBack"/>
      <w:bookmarkEnd w:id="0"/>
      <w:r>
        <w:rPr>
          <w:b/>
          <w:bCs/>
          <w:sz w:val="22"/>
          <w:szCs w:val="22"/>
          <w:lang w:val="en-GB"/>
        </w:rPr>
        <w:t>IC EVALUATION SYSTEMS</w:t>
      </w:r>
    </w:p>
    <w:p w:rsidR="002E7CA1" w:rsidRDefault="002E7CA1">
      <w:pPr>
        <w:spacing w:line="312" w:lineRule="atLeast"/>
        <w:outlineLvl w:val="0"/>
        <w:rPr>
          <w:b/>
          <w:bCs/>
          <w:sz w:val="22"/>
          <w:szCs w:val="22"/>
          <w:lang w:val="en-GB"/>
        </w:rPr>
      </w:pPr>
    </w:p>
    <w:tbl>
      <w:tblPr>
        <w:tblW w:w="9864" w:type="dxa"/>
        <w:tblLayout w:type="fixed"/>
        <w:tblLook w:val="0000" w:firstRow="0" w:lastRow="0" w:firstColumn="0" w:lastColumn="0" w:noHBand="0" w:noVBand="0"/>
      </w:tblPr>
      <w:tblGrid>
        <w:gridCol w:w="3369"/>
        <w:gridCol w:w="6485"/>
        <w:gridCol w:w="10"/>
      </w:tblGrid>
      <w:tr w:rsidR="002E7CA1"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2E7CA1" w:rsidRDefault="002E7CA1">
            <w:pPr>
              <w:spacing w:line="312" w:lineRule="atLeast"/>
              <w:outlineLvl w:val="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Country (or countries)</w:t>
            </w:r>
          </w:p>
        </w:tc>
        <w:tc>
          <w:tcPr>
            <w:tcW w:w="6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CA1" w:rsidRPr="00F13860" w:rsidRDefault="006A2F39">
            <w:pPr>
              <w:rPr>
                <w:lang w:val="en-GB"/>
              </w:rPr>
            </w:pPr>
            <w:r w:rsidRPr="00F13860">
              <w:rPr>
                <w:lang w:val="en-GB"/>
              </w:rPr>
              <w:t>Israel</w:t>
            </w:r>
          </w:p>
        </w:tc>
      </w:tr>
      <w:tr w:rsidR="002E7CA1"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2E7CA1" w:rsidRDefault="002E7CA1">
            <w:pPr>
              <w:spacing w:before="6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Main trait group</w:t>
            </w:r>
            <w:r>
              <w:rPr>
                <w:b/>
                <w:bCs/>
                <w:sz w:val="22"/>
                <w:szCs w:val="22"/>
                <w:vertAlign w:val="superscript"/>
                <w:lang w:val="en-GB"/>
              </w:rPr>
              <w:t>1</w:t>
            </w:r>
            <w:r>
              <w:rPr>
                <w:b/>
                <w:bCs/>
                <w:sz w:val="22"/>
                <w:szCs w:val="22"/>
                <w:lang w:val="en-GB"/>
              </w:rPr>
              <w:br/>
              <w:t>NOTE!</w:t>
            </w:r>
            <w:r>
              <w:rPr>
                <w:sz w:val="22"/>
                <w:szCs w:val="22"/>
                <w:lang w:val="en-GB"/>
              </w:rPr>
              <w:t xml:space="preserve"> Only one trait group per form!</w:t>
            </w:r>
          </w:p>
        </w:tc>
        <w:tc>
          <w:tcPr>
            <w:tcW w:w="6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CA1" w:rsidRPr="00F13860" w:rsidRDefault="006A2F39">
            <w:pPr>
              <w:rPr>
                <w:lang w:val="en-GB"/>
              </w:rPr>
            </w:pPr>
            <w:r w:rsidRPr="00F13860">
              <w:rPr>
                <w:lang w:val="en-GB"/>
              </w:rPr>
              <w:t>Longevity</w:t>
            </w:r>
          </w:p>
        </w:tc>
      </w:tr>
      <w:tr w:rsidR="002E7CA1"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2E7CA1" w:rsidRDefault="002E7CA1">
            <w:pPr>
              <w:spacing w:line="312" w:lineRule="atLeast"/>
              <w:outlineLvl w:val="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Breed(s)</w:t>
            </w:r>
          </w:p>
        </w:tc>
        <w:tc>
          <w:tcPr>
            <w:tcW w:w="6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CA1" w:rsidRPr="00F13860" w:rsidRDefault="00CD3224">
            <w:pPr>
              <w:rPr>
                <w:lang w:val="en-GB"/>
              </w:rPr>
            </w:pPr>
            <w:r w:rsidRPr="00F13860">
              <w:rPr>
                <w:lang w:val="en-GB"/>
              </w:rPr>
              <w:t>Holstein</w:t>
            </w:r>
          </w:p>
        </w:tc>
      </w:tr>
      <w:tr w:rsidR="002E7CA1">
        <w:trPr>
          <w:gridAfter w:val="1"/>
          <w:wAfter w:w="10" w:type="dxa"/>
          <w:cantSplit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7CA1" w:rsidRDefault="002E7CA1">
            <w:pPr>
              <w:spacing w:before="6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Trait definition(s) and unit(s) of measurement</w:t>
            </w:r>
            <w:r>
              <w:rPr>
                <w:b/>
                <w:bCs/>
                <w:sz w:val="22"/>
                <w:szCs w:val="22"/>
                <w:vertAlign w:val="superscript"/>
                <w:lang w:val="en-GB"/>
              </w:rPr>
              <w:t>2</w:t>
            </w:r>
            <w:r>
              <w:rPr>
                <w:b/>
                <w:bCs/>
                <w:sz w:val="22"/>
                <w:szCs w:val="22"/>
                <w:lang w:val="en-GB"/>
              </w:rPr>
              <w:br/>
            </w:r>
            <w:r>
              <w:rPr>
                <w:sz w:val="22"/>
                <w:szCs w:val="22"/>
                <w:lang w:val="en-GB"/>
              </w:rPr>
              <w:t>Attach an appendix if needed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7CA1" w:rsidRPr="00F13860" w:rsidRDefault="00430E1B">
            <w:pPr>
              <w:rPr>
                <w:lang w:val="en-US"/>
              </w:rPr>
            </w:pPr>
            <w:r w:rsidRPr="00F13860">
              <w:rPr>
                <w:lang w:val="en-US"/>
              </w:rPr>
              <w:t xml:space="preserve">Days from first calving to exit to a maximum of </w:t>
            </w:r>
            <w:r w:rsidR="00F13860" w:rsidRPr="00F13860">
              <w:rPr>
                <w:lang w:val="en-US"/>
              </w:rPr>
              <w:t>2922</w:t>
            </w:r>
            <w:r w:rsidRPr="00F13860">
              <w:rPr>
                <w:lang w:val="en-US"/>
              </w:rPr>
              <w:t xml:space="preserve"> days.  For cows still milking exit date is predicted.  Units are days.</w:t>
            </w:r>
          </w:p>
        </w:tc>
      </w:tr>
      <w:tr w:rsidR="002E7CA1">
        <w:trPr>
          <w:gridAfter w:val="1"/>
          <w:wAfter w:w="10" w:type="dxa"/>
          <w:cantSplit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7CA1" w:rsidRDefault="002E7CA1">
            <w:pPr>
              <w:spacing w:before="6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Method of measuring and collecting data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7CA1" w:rsidRPr="00F13860" w:rsidRDefault="00F90CE3">
            <w:pPr>
              <w:rPr>
                <w:lang w:val="en-US"/>
              </w:rPr>
            </w:pPr>
            <w:r w:rsidRPr="00F13860">
              <w:rPr>
                <w:lang w:val="en-US"/>
              </w:rPr>
              <w:t>Calving dates and exit dates are recorded by farmers and sent to the central computer of the Israel Cattle Breeders’ Association</w:t>
            </w:r>
          </w:p>
        </w:tc>
      </w:tr>
      <w:tr w:rsidR="002E7CA1">
        <w:trPr>
          <w:gridAfter w:val="1"/>
          <w:wAfter w:w="10" w:type="dxa"/>
          <w:cantSplit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7CA1" w:rsidRDefault="002E7CA1">
            <w:pPr>
              <w:spacing w:before="6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Time period for data inclusion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7CA1" w:rsidRPr="00F13860" w:rsidRDefault="00F90CE3">
            <w:proofErr w:type="spellStart"/>
            <w:r w:rsidRPr="00F13860">
              <w:rPr>
                <w:lang w:val="en-US"/>
              </w:rPr>
              <w:t>Calvings</w:t>
            </w:r>
            <w:proofErr w:type="spellEnd"/>
            <w:r w:rsidRPr="00F13860">
              <w:rPr>
                <w:lang w:val="en-US"/>
              </w:rPr>
              <w:t xml:space="preserve"> since 1985.</w:t>
            </w:r>
          </w:p>
        </w:tc>
      </w:tr>
      <w:tr w:rsidR="002E7CA1">
        <w:trPr>
          <w:gridAfter w:val="1"/>
          <w:wAfter w:w="10" w:type="dxa"/>
          <w:cantSplit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7CA1" w:rsidRDefault="002E7CA1">
            <w:pPr>
              <w:spacing w:before="6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Age groups (e.g. parities) included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7CA1" w:rsidRPr="00F13860" w:rsidRDefault="00430E1B">
            <w:pPr>
              <w:rPr>
                <w:lang w:val="en-US"/>
              </w:rPr>
            </w:pPr>
            <w:r w:rsidRPr="00F13860">
              <w:rPr>
                <w:lang w:val="en-US"/>
              </w:rPr>
              <w:t>First through seventh parity.</w:t>
            </w:r>
          </w:p>
        </w:tc>
      </w:tr>
      <w:tr w:rsidR="002E7CA1">
        <w:trPr>
          <w:gridAfter w:val="1"/>
          <w:wAfter w:w="10" w:type="dxa"/>
          <w:cantSplit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7CA1" w:rsidRDefault="002E7CA1">
            <w:pPr>
              <w:spacing w:before="6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Other criteria (data edits) for inclusion of records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7CA1" w:rsidRPr="00F13860" w:rsidRDefault="009D1C2A" w:rsidP="0045759D">
            <w:pPr>
              <w:rPr>
                <w:lang w:val="en-US"/>
              </w:rPr>
            </w:pPr>
            <w:r w:rsidRPr="00F13860">
              <w:rPr>
                <w:lang w:val="en-US"/>
              </w:rPr>
              <w:t xml:space="preserve">Sire and herd number, and valid cow birth and </w:t>
            </w:r>
            <w:r w:rsidR="00F13860">
              <w:rPr>
                <w:lang w:val="en-US"/>
              </w:rPr>
              <w:t xml:space="preserve">first </w:t>
            </w:r>
            <w:r w:rsidRPr="00F13860">
              <w:rPr>
                <w:lang w:val="en-US"/>
              </w:rPr>
              <w:t>calving dates are required.  Age at first calving between 570 and 1000 days.  Cows are deleted if any calving interval &lt; 150 days, if</w:t>
            </w:r>
            <w:r w:rsidR="000436FA" w:rsidRPr="00F13860">
              <w:rPr>
                <w:lang w:val="en-US"/>
              </w:rPr>
              <w:t xml:space="preserve"> days in milk &gt; </w:t>
            </w:r>
            <w:r w:rsidR="0045759D">
              <w:rPr>
                <w:lang w:val="en-US"/>
              </w:rPr>
              <w:t>10</w:t>
            </w:r>
            <w:r w:rsidR="000436FA" w:rsidRPr="00F13860">
              <w:rPr>
                <w:lang w:val="en-US"/>
              </w:rPr>
              <w:t>00 for a</w:t>
            </w:r>
            <w:r w:rsidR="00F13860" w:rsidRPr="00F13860">
              <w:rPr>
                <w:lang w:val="en-US"/>
              </w:rPr>
              <w:t>ny lactation,</w:t>
            </w:r>
            <w:r w:rsidR="000436FA" w:rsidRPr="00F13860">
              <w:rPr>
                <w:lang w:val="en-US"/>
              </w:rPr>
              <w:t xml:space="preserve"> if mean calving interval &lt; 250 days or &gt; 6</w:t>
            </w:r>
            <w:r w:rsidR="00F13860" w:rsidRPr="00F13860">
              <w:rPr>
                <w:lang w:val="en-US"/>
              </w:rPr>
              <w:t>5</w:t>
            </w:r>
            <w:r w:rsidR="000436FA" w:rsidRPr="00F13860">
              <w:rPr>
                <w:lang w:val="en-US"/>
              </w:rPr>
              <w:t>0 days</w:t>
            </w:r>
            <w:r w:rsidR="0045759D">
              <w:rPr>
                <w:lang w:val="en-US"/>
              </w:rPr>
              <w:t xml:space="preserve"> and there were at least 2 parities</w:t>
            </w:r>
            <w:r w:rsidR="00F13860" w:rsidRPr="00F13860">
              <w:rPr>
                <w:lang w:val="en-US"/>
              </w:rPr>
              <w:t xml:space="preserve">, </w:t>
            </w:r>
            <w:r w:rsidR="0045759D">
              <w:rPr>
                <w:lang w:val="en-US"/>
              </w:rPr>
              <w:t xml:space="preserve">if days open &lt;20, </w:t>
            </w:r>
            <w:r w:rsidR="00D41FDA">
              <w:rPr>
                <w:lang w:val="en-US"/>
              </w:rPr>
              <w:t xml:space="preserve">or </w:t>
            </w:r>
            <w:r w:rsidR="00F13860" w:rsidRPr="00F13860">
              <w:rPr>
                <w:lang w:val="en-US"/>
              </w:rPr>
              <w:t>if no exit date is recorded and the la</w:t>
            </w:r>
            <w:r w:rsidR="0045759D">
              <w:rPr>
                <w:lang w:val="en-US"/>
              </w:rPr>
              <w:t>st recorded event occurred &gt; 180</w:t>
            </w:r>
            <w:r w:rsidR="00F13860" w:rsidRPr="00F13860">
              <w:rPr>
                <w:lang w:val="en-US"/>
              </w:rPr>
              <w:t xml:space="preserve"> days prior to the evaluation</w:t>
            </w:r>
            <w:r w:rsidR="00F13860">
              <w:rPr>
                <w:lang w:val="en-US"/>
              </w:rPr>
              <w:t xml:space="preserve"> date</w:t>
            </w:r>
            <w:r w:rsidR="0045759D">
              <w:rPr>
                <w:lang w:val="en-US"/>
              </w:rPr>
              <w:t>.</w:t>
            </w:r>
          </w:p>
        </w:tc>
      </w:tr>
      <w:tr w:rsidR="002E7CA1">
        <w:trPr>
          <w:gridAfter w:val="1"/>
          <w:wAfter w:w="10" w:type="dxa"/>
          <w:cantSplit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7CA1" w:rsidRDefault="002E7CA1">
            <w:pPr>
              <w:spacing w:before="6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Criteria for extension of records</w:t>
            </w:r>
            <w:r>
              <w:rPr>
                <w:sz w:val="22"/>
                <w:szCs w:val="22"/>
                <w:lang w:val="en-GB"/>
              </w:rPr>
              <w:t xml:space="preserve"> (if applicable)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7CA1" w:rsidRPr="00F13860" w:rsidRDefault="000436FA">
            <w:pPr>
              <w:rPr>
                <w:lang w:val="en-US"/>
              </w:rPr>
            </w:pPr>
            <w:r w:rsidRPr="00F13860">
              <w:rPr>
                <w:lang w:val="en-US"/>
              </w:rPr>
              <w:t xml:space="preserve">All cows </w:t>
            </w:r>
            <w:r w:rsidR="00E16ADC">
              <w:rPr>
                <w:lang w:val="en-US"/>
              </w:rPr>
              <w:t>with valid records,</w:t>
            </w:r>
            <w:r w:rsidR="00D41FDA">
              <w:rPr>
                <w:lang w:val="en-US"/>
              </w:rPr>
              <w:t xml:space="preserve"> with at least 180 days in milk in first parity</w:t>
            </w:r>
            <w:proofErr w:type="gramStart"/>
            <w:r w:rsidR="00E16ADC">
              <w:rPr>
                <w:lang w:val="en-US"/>
              </w:rPr>
              <w:t xml:space="preserve">, </w:t>
            </w:r>
            <w:r w:rsidR="00D41FDA">
              <w:rPr>
                <w:lang w:val="en-US"/>
              </w:rPr>
              <w:t xml:space="preserve"> </w:t>
            </w:r>
            <w:r w:rsidRPr="00F13860">
              <w:rPr>
                <w:lang w:val="en-US"/>
              </w:rPr>
              <w:t>with</w:t>
            </w:r>
            <w:r w:rsidR="003E49B6" w:rsidRPr="00F13860">
              <w:rPr>
                <w:lang w:val="en-US"/>
              </w:rPr>
              <w:t>out</w:t>
            </w:r>
            <w:proofErr w:type="gramEnd"/>
            <w:r w:rsidR="003E49B6" w:rsidRPr="00F13860">
              <w:rPr>
                <w:lang w:val="en-US"/>
              </w:rPr>
              <w:t xml:space="preserve"> valid exit dates and with &lt; </w:t>
            </w:r>
            <w:r w:rsidR="00F13860" w:rsidRPr="00F13860">
              <w:rPr>
                <w:lang w:val="en-US"/>
              </w:rPr>
              <w:t>2922</w:t>
            </w:r>
            <w:r w:rsidR="003E49B6" w:rsidRPr="00F13860">
              <w:rPr>
                <w:lang w:val="en-US"/>
              </w:rPr>
              <w:t xml:space="preserve"> days since first calving. </w:t>
            </w:r>
          </w:p>
        </w:tc>
      </w:tr>
      <w:tr w:rsidR="002E7CA1">
        <w:trPr>
          <w:gridAfter w:val="1"/>
          <w:wAfter w:w="10" w:type="dxa"/>
          <w:cantSplit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7CA1" w:rsidRDefault="002E7CA1">
            <w:pPr>
              <w:spacing w:before="6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Sire categories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7CA1" w:rsidRPr="00F13860" w:rsidRDefault="00BC55EB" w:rsidP="005D4554">
            <w:pPr>
              <w:rPr>
                <w:lang w:val="en-US"/>
              </w:rPr>
            </w:pPr>
            <w:r>
              <w:rPr>
                <w:lang w:val="en-US"/>
              </w:rPr>
              <w:t>The numbers of bulls born since 1980 in each category are given in parenthesis after each group:  young Israeli Holstein bulls (</w:t>
            </w:r>
            <w:r w:rsidR="005D4554">
              <w:rPr>
                <w:lang w:val="en-US"/>
              </w:rPr>
              <w:t>908</w:t>
            </w:r>
            <w:r>
              <w:rPr>
                <w:lang w:val="en-US"/>
              </w:rPr>
              <w:t>), proven Israeli Holstein bulls (</w:t>
            </w:r>
            <w:r w:rsidR="005D4554">
              <w:rPr>
                <w:lang w:val="en-US"/>
              </w:rPr>
              <w:t>325</w:t>
            </w:r>
            <w:r>
              <w:rPr>
                <w:lang w:val="en-US"/>
              </w:rPr>
              <w:t>), young “promising” Israeli Holstein bulls (3</w:t>
            </w:r>
            <w:r w:rsidR="005D4554">
              <w:rPr>
                <w:lang w:val="en-US"/>
              </w:rPr>
              <w:t>0</w:t>
            </w:r>
            <w:r>
              <w:rPr>
                <w:lang w:val="en-US"/>
              </w:rPr>
              <w:t>), foreign Holstein proven bulls (2</w:t>
            </w:r>
            <w:r w:rsidR="005D4554">
              <w:rPr>
                <w:lang w:val="en-US"/>
              </w:rPr>
              <w:t>47</w:t>
            </w:r>
            <w:r>
              <w:rPr>
                <w:lang w:val="en-US"/>
              </w:rPr>
              <w:t>), breeds other than Holstein (</w:t>
            </w:r>
            <w:r w:rsidR="005D4554">
              <w:rPr>
                <w:lang w:val="en-US"/>
              </w:rPr>
              <w:t>122</w:t>
            </w:r>
            <w:r>
              <w:rPr>
                <w:lang w:val="en-US"/>
              </w:rPr>
              <w:t>), and sires of foreign bulls with no local daughters (</w:t>
            </w:r>
            <w:r w:rsidR="005D4554">
              <w:rPr>
                <w:lang w:val="en-US"/>
              </w:rPr>
              <w:t>7</w:t>
            </w:r>
            <w:r>
              <w:rPr>
                <w:lang w:val="en-US"/>
              </w:rPr>
              <w:t>).  Young “promising” bulls are used more widely than normal young bulls.  About 20% of young bulls are from ET.  All insemination is AI.</w:t>
            </w:r>
          </w:p>
        </w:tc>
      </w:tr>
      <w:tr w:rsidR="002E7CA1">
        <w:trPr>
          <w:gridAfter w:val="1"/>
          <w:wAfter w:w="10" w:type="dxa"/>
          <w:cantSplit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7CA1" w:rsidRDefault="002E7CA1">
            <w:pPr>
              <w:spacing w:before="6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Environmental effects</w:t>
            </w:r>
            <w:r>
              <w:rPr>
                <w:b/>
                <w:bCs/>
                <w:sz w:val="22"/>
                <w:szCs w:val="22"/>
                <w:vertAlign w:val="superscript"/>
                <w:lang w:val="en-GB"/>
              </w:rPr>
              <w:t>3</w:t>
            </w:r>
            <w:r>
              <w:rPr>
                <w:b/>
                <w:bCs/>
                <w:sz w:val="22"/>
                <w:szCs w:val="22"/>
                <w:lang w:val="en-GB"/>
              </w:rPr>
              <w:t xml:space="preserve">, pre-adjustments 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7CA1" w:rsidRPr="00F13860" w:rsidRDefault="0045759D">
            <w:pPr>
              <w:rPr>
                <w:lang w:val="en-US"/>
              </w:rPr>
            </w:pPr>
            <w:r>
              <w:rPr>
                <w:lang w:val="en-US"/>
              </w:rPr>
              <w:t xml:space="preserve">Calving ease, twinning, calving age and month in first parity.  </w:t>
            </w:r>
          </w:p>
        </w:tc>
      </w:tr>
      <w:tr w:rsidR="002E7CA1">
        <w:trPr>
          <w:gridAfter w:val="1"/>
          <w:wAfter w:w="10" w:type="dxa"/>
          <w:cantSplit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7CA1" w:rsidRDefault="002E7CA1">
            <w:pPr>
              <w:spacing w:before="6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Method (model) of genetic evaluation</w:t>
            </w:r>
            <w:r>
              <w:rPr>
                <w:b/>
                <w:bCs/>
                <w:sz w:val="22"/>
                <w:szCs w:val="22"/>
                <w:vertAlign w:val="superscript"/>
                <w:lang w:val="en-GB"/>
              </w:rPr>
              <w:t>3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7CA1" w:rsidRPr="00F13860" w:rsidRDefault="00CD3224">
            <w:pPr>
              <w:rPr>
                <w:lang w:val="en-US"/>
              </w:rPr>
            </w:pPr>
            <w:r w:rsidRPr="00F13860">
              <w:rPr>
                <w:lang w:val="en-US"/>
              </w:rPr>
              <w:t>Single trait AM</w:t>
            </w:r>
          </w:p>
        </w:tc>
      </w:tr>
      <w:tr w:rsidR="002E7CA1">
        <w:trPr>
          <w:gridAfter w:val="1"/>
          <w:wAfter w:w="10" w:type="dxa"/>
          <w:cantSplit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7CA1" w:rsidRDefault="002E7CA1">
            <w:pPr>
              <w:spacing w:before="6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Environmental effects</w:t>
            </w:r>
            <w:r>
              <w:rPr>
                <w:b/>
                <w:bCs/>
                <w:sz w:val="22"/>
                <w:szCs w:val="22"/>
                <w:vertAlign w:val="superscript"/>
                <w:lang w:val="en-GB"/>
              </w:rPr>
              <w:t>3</w:t>
            </w:r>
            <w:r>
              <w:rPr>
                <w:b/>
                <w:bCs/>
                <w:sz w:val="22"/>
                <w:szCs w:val="22"/>
                <w:lang w:val="en-GB"/>
              </w:rPr>
              <w:t xml:space="preserve"> in the genetic evaluation model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7CA1" w:rsidRPr="00F13860" w:rsidRDefault="00CD3224" w:rsidP="00E16ADC">
            <w:pPr>
              <w:rPr>
                <w:lang w:val="en-US"/>
              </w:rPr>
            </w:pPr>
            <w:r w:rsidRPr="00F13860">
              <w:rPr>
                <w:lang w:val="en-US"/>
              </w:rPr>
              <w:t xml:space="preserve">Herd-year-season, discontinuous, </w:t>
            </w:r>
            <w:r w:rsidR="00E16ADC">
              <w:rPr>
                <w:lang w:val="en-US"/>
              </w:rPr>
              <w:t>47,678</w:t>
            </w:r>
            <w:r w:rsidRPr="00F13860">
              <w:rPr>
                <w:lang w:val="en-US"/>
              </w:rPr>
              <w:t xml:space="preserve"> levels (F)</w:t>
            </w:r>
          </w:p>
        </w:tc>
      </w:tr>
      <w:tr w:rsidR="002E7CA1">
        <w:trPr>
          <w:gridAfter w:val="1"/>
          <w:wAfter w:w="10" w:type="dxa"/>
          <w:cantSplit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7CA1" w:rsidRDefault="002E7CA1">
            <w:pPr>
              <w:spacing w:before="6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Adjustment for heterogeneous variance in evaluation model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3224" w:rsidRPr="00F13860" w:rsidRDefault="00CD3224" w:rsidP="0076120F">
            <w:pPr>
              <w:widowControl w:val="0"/>
              <w:ind w:left="567" w:hanging="567"/>
              <w:jc w:val="both"/>
              <w:rPr>
                <w:snapToGrid w:val="0"/>
                <w:lang w:val="en-US"/>
              </w:rPr>
            </w:pPr>
            <w:r w:rsidRPr="00F13860">
              <w:rPr>
                <w:lang w:val="en-US"/>
              </w:rPr>
              <w:t xml:space="preserve">Yes, see </w:t>
            </w:r>
            <w:r w:rsidR="0076120F">
              <w:rPr>
                <w:snapToGrid w:val="0"/>
                <w:lang w:val="en-US"/>
              </w:rPr>
              <w:t>Weller and E</w:t>
            </w:r>
            <w:r w:rsidR="00E16ADC">
              <w:rPr>
                <w:snapToGrid w:val="0"/>
                <w:lang w:val="en-US"/>
              </w:rPr>
              <w:t xml:space="preserve">zra </w:t>
            </w:r>
            <w:r w:rsidR="0076120F">
              <w:rPr>
                <w:snapToGrid w:val="0"/>
                <w:lang w:val="en-US"/>
              </w:rPr>
              <w:t xml:space="preserve">(2014) and </w:t>
            </w:r>
            <w:r w:rsidRPr="00F13860">
              <w:rPr>
                <w:snapToGrid w:val="0"/>
              </w:rPr>
              <w:t>Settar and Weller (1999)</w:t>
            </w:r>
            <w:r w:rsidRPr="00F13860">
              <w:rPr>
                <w:snapToGrid w:val="0"/>
                <w:lang w:val="en-US"/>
              </w:rPr>
              <w:t xml:space="preserve"> below.</w:t>
            </w:r>
          </w:p>
          <w:p w:rsidR="002E7CA1" w:rsidRPr="00F13860" w:rsidRDefault="002E7CA1">
            <w:pPr>
              <w:rPr>
                <w:lang w:val="en-US"/>
              </w:rPr>
            </w:pPr>
          </w:p>
        </w:tc>
      </w:tr>
      <w:tr w:rsidR="002E7CA1">
        <w:trPr>
          <w:gridAfter w:val="1"/>
          <w:wAfter w:w="10" w:type="dxa"/>
          <w:cantSplit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7CA1" w:rsidRDefault="002E7CA1">
            <w:pPr>
              <w:spacing w:before="6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Use of genetic groups and relationships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7CA1" w:rsidRPr="00F13860" w:rsidRDefault="00CD3224">
            <w:pPr>
              <w:rPr>
                <w:lang w:val="en-US"/>
              </w:rPr>
            </w:pPr>
            <w:r w:rsidRPr="00F13860">
              <w:rPr>
                <w:lang w:val="en-US"/>
              </w:rPr>
              <w:t>Relationship matrix is not modified.  Individuals with unknown parents are groups by sex of animal, birth year, and which parents are unknown.</w:t>
            </w:r>
          </w:p>
        </w:tc>
      </w:tr>
      <w:tr w:rsidR="002E7CA1">
        <w:trPr>
          <w:gridAfter w:val="1"/>
          <w:wAfter w:w="10" w:type="dxa"/>
          <w:cantSplit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7CA1" w:rsidRDefault="002E7CA1">
            <w:pPr>
              <w:spacing w:before="6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Blending of foreign/</w:t>
            </w:r>
            <w:proofErr w:type="spellStart"/>
            <w:r>
              <w:rPr>
                <w:b/>
                <w:bCs/>
                <w:sz w:val="22"/>
                <w:szCs w:val="22"/>
                <w:lang w:val="en-GB"/>
              </w:rPr>
              <w:t>Interbull</w:t>
            </w:r>
            <w:proofErr w:type="spellEnd"/>
            <w:r>
              <w:rPr>
                <w:b/>
                <w:bCs/>
                <w:sz w:val="22"/>
                <w:szCs w:val="22"/>
                <w:lang w:val="en-GB"/>
              </w:rPr>
              <w:t xml:space="preserve"> information in evaluation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7CA1" w:rsidRPr="00F13860" w:rsidRDefault="00B3669D">
            <w:pPr>
              <w:rPr>
                <w:lang w:val="en-US"/>
              </w:rPr>
            </w:pPr>
            <w:r w:rsidRPr="00F13860">
              <w:rPr>
                <w:lang w:val="en-US"/>
              </w:rPr>
              <w:t>No</w:t>
            </w:r>
          </w:p>
        </w:tc>
      </w:tr>
      <w:tr w:rsidR="002E7CA1">
        <w:trPr>
          <w:gridAfter w:val="1"/>
          <w:wAfter w:w="10" w:type="dxa"/>
          <w:cantSplit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7CA1" w:rsidRDefault="002E7CA1">
            <w:pPr>
              <w:spacing w:before="6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Genetic parameters in the evaluation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7CA1" w:rsidRPr="00F13860" w:rsidRDefault="002E7CA1">
            <w:pPr>
              <w:spacing w:before="60"/>
              <w:rPr>
                <w:lang w:val="en-GB"/>
              </w:rPr>
            </w:pPr>
            <w:r w:rsidRPr="00F13860">
              <w:rPr>
                <w:lang w:val="en-GB"/>
              </w:rPr>
              <w:t>Use Appendix GE for heritability/genetic variance estimates; for multiple-trait genetic evaluations, provide genetic correlation estimates between traits separately.</w:t>
            </w:r>
          </w:p>
          <w:p w:rsidR="002E7CA1" w:rsidRPr="00F13860" w:rsidRDefault="002E7CA1">
            <w:pPr>
              <w:spacing w:before="60"/>
            </w:pPr>
            <w:r w:rsidRPr="00F13860">
              <w:rPr>
                <w:lang w:val="en-GB"/>
              </w:rPr>
              <w:t xml:space="preserve">Use </w:t>
            </w:r>
            <w:r w:rsidRPr="00F13860">
              <w:rPr>
                <w:b/>
                <w:bCs/>
                <w:lang w:val="en-GB"/>
              </w:rPr>
              <w:t>also</w:t>
            </w:r>
            <w:r w:rsidRPr="00F13860">
              <w:rPr>
                <w:lang w:val="en-GB"/>
              </w:rPr>
              <w:t xml:space="preserve"> appendices PR, CO, BCO, SM, as applicable, if you participate in the international genetic evaluations of </w:t>
            </w:r>
            <w:proofErr w:type="spellStart"/>
            <w:r w:rsidRPr="00F13860">
              <w:rPr>
                <w:lang w:val="en-GB"/>
              </w:rPr>
              <w:t>Interbull</w:t>
            </w:r>
            <w:proofErr w:type="spellEnd"/>
          </w:p>
        </w:tc>
      </w:tr>
      <w:tr w:rsidR="002E7CA1">
        <w:trPr>
          <w:gridAfter w:val="1"/>
          <w:wAfter w:w="10" w:type="dxa"/>
          <w:cantSplit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7CA1" w:rsidRDefault="002E7CA1">
            <w:pPr>
              <w:spacing w:before="6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System validation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7CA1" w:rsidRPr="00BC1E72" w:rsidRDefault="00BC1E72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Method 3</w:t>
            </w:r>
          </w:p>
        </w:tc>
      </w:tr>
      <w:tr w:rsidR="002E7CA1">
        <w:trPr>
          <w:gridAfter w:val="1"/>
          <w:wAfter w:w="10" w:type="dxa"/>
          <w:cantSplit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7CA1" w:rsidRDefault="002E7CA1">
            <w:pPr>
              <w:spacing w:before="6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lastRenderedPageBreak/>
              <w:t>Expression of genetic evaluations</w:t>
            </w:r>
            <w:r>
              <w:rPr>
                <w:b/>
                <w:bCs/>
                <w:sz w:val="22"/>
                <w:szCs w:val="22"/>
                <w:lang w:val="en-GB"/>
              </w:rPr>
              <w:br/>
            </w:r>
            <w:r>
              <w:rPr>
                <w:sz w:val="22"/>
                <w:szCs w:val="22"/>
                <w:lang w:val="en-GB"/>
              </w:rPr>
              <w:t>If standardised (e.g. RBV), give standardisation formula in the appendix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7CA1" w:rsidRPr="00F13860" w:rsidRDefault="00B3669D" w:rsidP="004753FC">
            <w:pPr>
              <w:spacing w:before="60"/>
              <w:rPr>
                <w:lang w:val="en-US"/>
              </w:rPr>
            </w:pPr>
            <w:r w:rsidRPr="00F13860">
              <w:rPr>
                <w:lang w:val="en-US"/>
              </w:rPr>
              <w:t xml:space="preserve">ETA, in </w:t>
            </w:r>
            <w:r w:rsidR="004753FC">
              <w:rPr>
                <w:lang w:val="en-US"/>
              </w:rPr>
              <w:t>days</w:t>
            </w:r>
            <w:r w:rsidRPr="00F13860">
              <w:rPr>
                <w:lang w:val="en-US"/>
              </w:rPr>
              <w:t>, relative to genetic base</w:t>
            </w:r>
          </w:p>
        </w:tc>
      </w:tr>
      <w:tr w:rsidR="00B3669D">
        <w:trPr>
          <w:gridAfter w:val="1"/>
          <w:wAfter w:w="10" w:type="dxa"/>
          <w:cantSplit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69D" w:rsidRDefault="00B3669D">
            <w:pPr>
              <w:spacing w:before="6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Definition of genetic reference base</w:t>
            </w:r>
          </w:p>
          <w:p w:rsidR="00B3669D" w:rsidRDefault="00B3669D">
            <w:pPr>
              <w:spacing w:before="6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Next base change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53FC" w:rsidRDefault="004753FC" w:rsidP="006E15BF">
            <w:pPr>
              <w:rPr>
                <w:lang w:val="en-US"/>
              </w:rPr>
            </w:pPr>
            <w:r>
              <w:rPr>
                <w:lang w:val="en-US"/>
              </w:rPr>
              <w:t xml:space="preserve">Mean genetic value of all cows with valid </w:t>
            </w:r>
            <w:proofErr w:type="spellStart"/>
            <w:r w:rsidR="006E15BF">
              <w:rPr>
                <w:lang w:val="en-US"/>
              </w:rPr>
              <w:t>herdlife</w:t>
            </w:r>
            <w:proofErr w:type="spellEnd"/>
            <w:r w:rsidR="006E15BF">
              <w:rPr>
                <w:lang w:val="en-US"/>
              </w:rPr>
              <w:t xml:space="preserve"> </w:t>
            </w:r>
            <w:r>
              <w:rPr>
                <w:lang w:val="en-US"/>
              </w:rPr>
              <w:t>records born in 2005.</w:t>
            </w:r>
          </w:p>
          <w:p w:rsidR="00B3669D" w:rsidRPr="00F13860" w:rsidRDefault="004753FC" w:rsidP="004753FC">
            <w:pPr>
              <w:rPr>
                <w:lang w:val="en-US"/>
              </w:rPr>
            </w:pPr>
            <w:r>
              <w:rPr>
                <w:lang w:val="en-US"/>
              </w:rPr>
              <w:t>Next base change in 2015</w:t>
            </w:r>
            <w:r w:rsidR="00B3669D" w:rsidRPr="00F13860">
              <w:rPr>
                <w:lang w:val="en-US"/>
              </w:rPr>
              <w:t>.</w:t>
            </w:r>
          </w:p>
        </w:tc>
      </w:tr>
      <w:tr w:rsidR="00B3669D">
        <w:trPr>
          <w:gridAfter w:val="1"/>
          <w:wAfter w:w="10" w:type="dxa"/>
          <w:cantSplit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69D" w:rsidRDefault="00B3669D">
            <w:pPr>
              <w:spacing w:before="6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Calculation of reliability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69D" w:rsidRPr="00F13860" w:rsidRDefault="00B3669D" w:rsidP="00CC3743">
            <w:pPr>
              <w:rPr>
                <w:lang w:val="en-US"/>
              </w:rPr>
            </w:pPr>
            <w:proofErr w:type="spellStart"/>
            <w:r w:rsidRPr="00F13860">
              <w:rPr>
                <w:lang w:val="en-US"/>
              </w:rPr>
              <w:t>Misztal</w:t>
            </w:r>
            <w:proofErr w:type="spellEnd"/>
            <w:r w:rsidRPr="00F13860">
              <w:rPr>
                <w:lang w:val="en-US"/>
              </w:rPr>
              <w:t xml:space="preserve"> I. and G. R. </w:t>
            </w:r>
            <w:proofErr w:type="spellStart"/>
            <w:r w:rsidRPr="00F13860">
              <w:rPr>
                <w:lang w:val="en-US"/>
              </w:rPr>
              <w:t>Wiggans</w:t>
            </w:r>
            <w:proofErr w:type="spellEnd"/>
            <w:r w:rsidRPr="00F13860">
              <w:rPr>
                <w:lang w:val="en-US"/>
              </w:rPr>
              <w:t xml:space="preserve">, (1988) </w:t>
            </w:r>
            <w:proofErr w:type="spellStart"/>
            <w:r w:rsidRPr="00F13860">
              <w:rPr>
                <w:lang w:val="en-US"/>
              </w:rPr>
              <w:t>J.Dairy</w:t>
            </w:r>
            <w:proofErr w:type="spellEnd"/>
            <w:r w:rsidRPr="00F13860">
              <w:rPr>
                <w:lang w:val="en-US"/>
              </w:rPr>
              <w:t xml:space="preserve"> </w:t>
            </w:r>
            <w:proofErr w:type="spellStart"/>
            <w:r w:rsidRPr="00F13860">
              <w:rPr>
                <w:lang w:val="en-US"/>
              </w:rPr>
              <w:t>Sci</w:t>
            </w:r>
            <w:proofErr w:type="spellEnd"/>
            <w:r w:rsidRPr="00F13860">
              <w:rPr>
                <w:lang w:val="en-US"/>
              </w:rPr>
              <w:t xml:space="preserve">, </w:t>
            </w:r>
            <w:r w:rsidRPr="00F13860">
              <w:rPr>
                <w:rFonts w:hint="cs"/>
                <w:lang w:val="en-US"/>
              </w:rPr>
              <w:t>71</w:t>
            </w:r>
            <w:r w:rsidRPr="00F13860">
              <w:rPr>
                <w:lang w:val="en-US"/>
              </w:rPr>
              <w:t>:</w:t>
            </w:r>
            <w:r w:rsidRPr="00F13860">
              <w:rPr>
                <w:rFonts w:hint="cs"/>
                <w:lang w:val="en-US"/>
              </w:rPr>
              <w:t xml:space="preserve">  </w:t>
            </w:r>
            <w:r w:rsidRPr="00F13860">
              <w:rPr>
                <w:lang w:val="en-US"/>
              </w:rPr>
              <w:t>(</w:t>
            </w:r>
            <w:r w:rsidRPr="00F13860">
              <w:rPr>
                <w:rFonts w:hint="cs"/>
                <w:lang w:val="en-US"/>
              </w:rPr>
              <w:t>S</w:t>
            </w:r>
            <w:r w:rsidRPr="00F13860">
              <w:rPr>
                <w:lang w:val="en-US"/>
              </w:rPr>
              <w:t>upp</w:t>
            </w:r>
            <w:r w:rsidRPr="00F13860">
              <w:rPr>
                <w:rFonts w:hint="cs"/>
                <w:lang w:val="en-US"/>
              </w:rPr>
              <w:t>. 2</w:t>
            </w:r>
            <w:r w:rsidRPr="00F13860">
              <w:rPr>
                <w:lang w:val="en-US"/>
              </w:rPr>
              <w:t xml:space="preserve">) 27-32. </w:t>
            </w:r>
          </w:p>
          <w:p w:rsidR="00B3669D" w:rsidRPr="00F13860" w:rsidRDefault="00B3669D" w:rsidP="00CC3743">
            <w:pPr>
              <w:rPr>
                <w:lang w:val="en-US"/>
              </w:rPr>
            </w:pPr>
            <w:r w:rsidRPr="00F13860">
              <w:rPr>
                <w:lang w:val="en-US"/>
              </w:rPr>
              <w:t xml:space="preserve">Corrected in:  </w:t>
            </w:r>
            <w:proofErr w:type="spellStart"/>
            <w:r w:rsidRPr="00F13860">
              <w:rPr>
                <w:lang w:val="en-US"/>
              </w:rPr>
              <w:t>Misztal</w:t>
            </w:r>
            <w:proofErr w:type="spellEnd"/>
            <w:r w:rsidRPr="00F13860">
              <w:rPr>
                <w:lang w:val="en-US"/>
              </w:rPr>
              <w:t>, I. et al. (1991</w:t>
            </w:r>
            <w:proofErr w:type="gramStart"/>
            <w:r w:rsidRPr="00F13860">
              <w:rPr>
                <w:lang w:val="en-US"/>
              </w:rPr>
              <w:t>)  J</w:t>
            </w:r>
            <w:proofErr w:type="gramEnd"/>
            <w:r w:rsidRPr="00F13860">
              <w:rPr>
                <w:lang w:val="en-US"/>
              </w:rPr>
              <w:t xml:space="preserve">. Dairy </w:t>
            </w:r>
            <w:proofErr w:type="spellStart"/>
            <w:r w:rsidRPr="00F13860">
              <w:rPr>
                <w:lang w:val="en-US"/>
              </w:rPr>
              <w:t>Sci</w:t>
            </w:r>
            <w:proofErr w:type="spellEnd"/>
            <w:r w:rsidRPr="00F13860">
              <w:rPr>
                <w:lang w:val="en-US"/>
              </w:rPr>
              <w:t>,</w:t>
            </w:r>
            <w:r w:rsidRPr="00F13860">
              <w:rPr>
                <w:rFonts w:hint="cs"/>
                <w:lang w:val="en-US"/>
              </w:rPr>
              <w:t xml:space="preserve"> 74</w:t>
            </w:r>
            <w:r w:rsidRPr="00F13860">
              <w:rPr>
                <w:lang w:val="en-US"/>
              </w:rPr>
              <w:t xml:space="preserve">: </w:t>
            </w:r>
            <w:r w:rsidRPr="00F13860">
              <w:rPr>
                <w:rFonts w:hint="cs"/>
                <w:lang w:val="en-US"/>
              </w:rPr>
              <w:t>200</w:t>
            </w:r>
            <w:r w:rsidRPr="00F13860">
              <w:rPr>
                <w:lang w:val="en-US"/>
              </w:rPr>
              <w:t>1</w:t>
            </w:r>
            <w:r w:rsidRPr="00F13860">
              <w:rPr>
                <w:rFonts w:hint="cs"/>
                <w:lang w:val="en-US"/>
              </w:rPr>
              <w:t>-</w:t>
            </w:r>
            <w:r w:rsidRPr="00F13860">
              <w:rPr>
                <w:lang w:val="en-US"/>
              </w:rPr>
              <w:t>2009.</w:t>
            </w:r>
            <w:r w:rsidRPr="00F13860">
              <w:rPr>
                <w:rFonts w:hint="cs"/>
                <w:lang w:val="en-US"/>
              </w:rPr>
              <w:t xml:space="preserve">   </w:t>
            </w:r>
          </w:p>
        </w:tc>
      </w:tr>
      <w:tr w:rsidR="00B3669D">
        <w:trPr>
          <w:gridAfter w:val="1"/>
          <w:wAfter w:w="10" w:type="dxa"/>
          <w:cantSplit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69D" w:rsidRDefault="00B3669D">
            <w:pPr>
              <w:spacing w:before="6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Criteria for official publication of evaluations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69D" w:rsidRPr="00F13860" w:rsidRDefault="00B3669D" w:rsidP="00CC3743">
            <w:pPr>
              <w:rPr>
                <w:lang w:val="en-US"/>
              </w:rPr>
            </w:pPr>
            <w:r w:rsidRPr="00F13860">
              <w:rPr>
                <w:lang w:val="en-US"/>
              </w:rPr>
              <w:t>Reliability &gt; 0.5</w:t>
            </w:r>
          </w:p>
        </w:tc>
      </w:tr>
      <w:tr w:rsidR="004753FC">
        <w:trPr>
          <w:gridAfter w:val="1"/>
          <w:wAfter w:w="10" w:type="dxa"/>
          <w:cantSplit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53FC" w:rsidRDefault="004753FC">
            <w:pPr>
              <w:spacing w:before="6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Number of evaluations / publications per year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53FC" w:rsidRDefault="004753FC" w:rsidP="00E16ADC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 xml:space="preserve">Two, </w:t>
            </w:r>
            <w:r w:rsidR="00E16ADC">
              <w:rPr>
                <w:lang w:val="en-US"/>
              </w:rPr>
              <w:t>May</w:t>
            </w:r>
            <w:r>
              <w:rPr>
                <w:lang w:val="en-US"/>
              </w:rPr>
              <w:t xml:space="preserve"> and </w:t>
            </w:r>
            <w:r w:rsidR="00E16ADC">
              <w:rPr>
                <w:lang w:val="en-US"/>
              </w:rPr>
              <w:t>November</w:t>
            </w:r>
          </w:p>
        </w:tc>
      </w:tr>
      <w:tr w:rsidR="004753FC">
        <w:trPr>
          <w:gridAfter w:val="1"/>
          <w:wAfter w:w="10" w:type="dxa"/>
          <w:cantSplit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53FC" w:rsidRDefault="004753FC">
            <w:pPr>
              <w:spacing w:before="6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Use in total merit index</w:t>
            </w:r>
            <w:r>
              <w:rPr>
                <w:b/>
                <w:bCs/>
                <w:sz w:val="22"/>
                <w:szCs w:val="22"/>
                <w:vertAlign w:val="superscript"/>
                <w:lang w:val="en-GB"/>
              </w:rPr>
              <w:t>4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53FC" w:rsidRDefault="004753FC" w:rsidP="00E16ADC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PD</w:t>
            </w:r>
            <w:r w:rsidR="00E16ADC">
              <w:rPr>
                <w:lang w:val="en-US"/>
              </w:rPr>
              <w:t>11</w:t>
            </w:r>
            <w:r>
              <w:rPr>
                <w:lang w:val="en-US"/>
              </w:rPr>
              <w:t xml:space="preserve"> = </w:t>
            </w:r>
            <w:r w:rsidR="00E16ADC">
              <w:rPr>
                <w:lang w:val="en-US"/>
              </w:rPr>
              <w:t>7.9</w:t>
            </w:r>
            <w:r>
              <w:rPr>
                <w:rFonts w:hint="cs"/>
                <w:lang w:val="en-US"/>
              </w:rPr>
              <w:t>*</w:t>
            </w:r>
            <w:r>
              <w:rPr>
                <w:lang w:val="en-US"/>
              </w:rPr>
              <w:t>(kg fat)</w:t>
            </w:r>
            <w:r>
              <w:rPr>
                <w:rFonts w:hint="cs"/>
                <w:lang w:val="en-US"/>
              </w:rPr>
              <w:t xml:space="preserve"> +</w:t>
            </w:r>
            <w:r w:rsidR="00E16ADC">
              <w:rPr>
                <w:lang w:val="en-US"/>
              </w:rPr>
              <w:t>23.7</w:t>
            </w:r>
            <w:r>
              <w:rPr>
                <w:rFonts w:hint="cs"/>
                <w:lang w:val="en-US"/>
              </w:rPr>
              <w:t>*(</w:t>
            </w:r>
            <w:r>
              <w:rPr>
                <w:lang w:val="en-US"/>
              </w:rPr>
              <w:t>kg protein) – 300*(SCS) + 26*(% female fertility</w:t>
            </w:r>
            <w:r w:rsidR="0065244B">
              <w:rPr>
                <w:lang w:val="en-US"/>
              </w:rPr>
              <w:t>)</w:t>
            </w:r>
            <w:r>
              <w:rPr>
                <w:lang w:val="en-US"/>
              </w:rPr>
              <w:t xml:space="preserve"> + 0.6*(days survival) + 10*(% persistency) – 3*(% dystocia) – 6*(calf mortality)</w:t>
            </w:r>
          </w:p>
        </w:tc>
      </w:tr>
      <w:tr w:rsidR="002E7CA1">
        <w:trPr>
          <w:gridAfter w:val="1"/>
          <w:wAfter w:w="10" w:type="dxa"/>
          <w:cantSplit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7CA1" w:rsidRDefault="002E7CA1">
            <w:pPr>
              <w:spacing w:before="6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Anticipated changes in the near future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7CA1" w:rsidRPr="00F13860" w:rsidRDefault="00B3669D">
            <w:pPr>
              <w:spacing w:before="60"/>
              <w:rPr>
                <w:lang w:val="en-US"/>
              </w:rPr>
            </w:pPr>
            <w:r w:rsidRPr="00F13860">
              <w:rPr>
                <w:lang w:val="en-US"/>
              </w:rPr>
              <w:t>None</w:t>
            </w:r>
          </w:p>
        </w:tc>
      </w:tr>
      <w:tr w:rsidR="002E7CA1">
        <w:trPr>
          <w:gridAfter w:val="1"/>
          <w:wAfter w:w="10" w:type="dxa"/>
          <w:cantSplit/>
        </w:trPr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CA1" w:rsidRDefault="002E7CA1">
            <w:pPr>
              <w:spacing w:before="6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Key reference on methodology applied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CA1" w:rsidRPr="0076120F" w:rsidRDefault="00CD3224" w:rsidP="00CD3224">
            <w:pPr>
              <w:widowControl w:val="0"/>
              <w:jc w:val="both"/>
              <w:rPr>
                <w:snapToGrid w:val="0"/>
                <w:lang w:val="en-US"/>
              </w:rPr>
            </w:pPr>
            <w:r w:rsidRPr="0076120F">
              <w:rPr>
                <w:snapToGrid w:val="0"/>
              </w:rPr>
              <w:t>Settar, P., and Weller, J. I.  (1999)</w:t>
            </w:r>
            <w:r w:rsidRPr="0076120F">
              <w:rPr>
                <w:snapToGrid w:val="0"/>
                <w:lang w:val="en-US"/>
              </w:rPr>
              <w:t xml:space="preserve"> </w:t>
            </w:r>
            <w:r w:rsidRPr="0076120F">
              <w:rPr>
                <w:snapToGrid w:val="0"/>
              </w:rPr>
              <w:t>Genetic analysis of cow survival in the Israeli dairy cattle population.</w:t>
            </w:r>
            <w:r w:rsidRPr="0076120F">
              <w:rPr>
                <w:snapToGrid w:val="0"/>
                <w:lang w:val="en-US"/>
              </w:rPr>
              <w:t xml:space="preserve">  </w:t>
            </w:r>
            <w:r w:rsidRPr="0076120F">
              <w:rPr>
                <w:i/>
                <w:iCs/>
                <w:snapToGrid w:val="0"/>
              </w:rPr>
              <w:t>J. Dairy Sci</w:t>
            </w:r>
            <w:r w:rsidRPr="0076120F">
              <w:rPr>
                <w:snapToGrid w:val="0"/>
              </w:rPr>
              <w:t>.  82; 2170-2177.</w:t>
            </w:r>
          </w:p>
          <w:p w:rsidR="0076120F" w:rsidRPr="0076120F" w:rsidRDefault="0076120F" w:rsidP="0076120F">
            <w:pPr>
              <w:suppressLineNumbers/>
              <w:rPr>
                <w:lang w:val="en-US"/>
              </w:rPr>
            </w:pPr>
            <w:r w:rsidRPr="0076120F">
              <w:t>Weller, J. I., and</w:t>
            </w:r>
            <w:r>
              <w:t xml:space="preserve"> Ezra, E. (2014)</w:t>
            </w:r>
            <w:r>
              <w:rPr>
                <w:lang w:val="en-US"/>
              </w:rPr>
              <w:t xml:space="preserve"> </w:t>
            </w:r>
            <w:r w:rsidRPr="0076120F">
              <w:t>Environmental and genetic factors affecting cow survival of Israeli Holsteins</w:t>
            </w:r>
            <w:r>
              <w:rPr>
                <w:lang w:val="en-US"/>
              </w:rPr>
              <w:t xml:space="preserve">.  </w:t>
            </w:r>
            <w:r w:rsidRPr="0076120F">
              <w:rPr>
                <w:i/>
                <w:iCs/>
              </w:rPr>
              <w:t xml:space="preserve">J. Dairy Sci. </w:t>
            </w:r>
            <w:r w:rsidRPr="0076120F">
              <w:rPr>
                <w:b/>
                <w:bCs/>
              </w:rPr>
              <w:t>97</w:t>
            </w:r>
            <w:r w:rsidRPr="0076120F">
              <w:t>; (In press).</w:t>
            </w:r>
          </w:p>
        </w:tc>
      </w:tr>
      <w:tr w:rsidR="002E7CA1">
        <w:trPr>
          <w:gridAfter w:val="1"/>
          <w:wAfter w:w="10" w:type="dxa"/>
          <w:cantSplit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7CA1" w:rsidRDefault="002E7CA1">
            <w:pPr>
              <w:spacing w:before="6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Key organization: name, address, phone, fax, e-mail, web site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69D" w:rsidRPr="00F13860" w:rsidRDefault="00B3669D" w:rsidP="00B3669D">
            <w:pPr>
              <w:rPr>
                <w:lang w:val="en-US"/>
              </w:rPr>
            </w:pPr>
            <w:r w:rsidRPr="00F13860">
              <w:rPr>
                <w:lang w:val="en-US"/>
              </w:rPr>
              <w:t xml:space="preserve">Joel Ira Weller, Department of Genetics, Institute of Animal Sciences, ARO, the </w:t>
            </w:r>
            <w:proofErr w:type="spellStart"/>
            <w:r w:rsidRPr="00F13860">
              <w:rPr>
                <w:lang w:val="en-US"/>
              </w:rPr>
              <w:t>Volcani</w:t>
            </w:r>
            <w:proofErr w:type="spellEnd"/>
            <w:r w:rsidRPr="00F13860">
              <w:rPr>
                <w:lang w:val="en-US"/>
              </w:rPr>
              <w:t xml:space="preserve"> Center, P. O. Box 6, Bet Dagan, 50250,  Israel</w:t>
            </w:r>
          </w:p>
          <w:p w:rsidR="00B3669D" w:rsidRPr="00F13860" w:rsidRDefault="00B3669D" w:rsidP="00B3669D">
            <w:pPr>
              <w:rPr>
                <w:lang w:val="en-US"/>
              </w:rPr>
            </w:pPr>
            <w:r w:rsidRPr="00F13860">
              <w:rPr>
                <w:lang w:val="en-US"/>
              </w:rPr>
              <w:t>Tel:  972-8-9484430</w:t>
            </w:r>
          </w:p>
          <w:p w:rsidR="00B3669D" w:rsidRPr="00F13860" w:rsidRDefault="00B3669D" w:rsidP="00B3669D">
            <w:pPr>
              <w:rPr>
                <w:lang w:val="en-US"/>
              </w:rPr>
            </w:pPr>
            <w:r w:rsidRPr="00F13860">
              <w:rPr>
                <w:lang w:val="en-US"/>
              </w:rPr>
              <w:t>Fax: 972-8-9470587</w:t>
            </w:r>
          </w:p>
          <w:p w:rsidR="00B3669D" w:rsidRPr="00F13860" w:rsidRDefault="00B3669D" w:rsidP="00B3669D">
            <w:pPr>
              <w:rPr>
                <w:lang w:val="en-US"/>
              </w:rPr>
            </w:pPr>
            <w:r w:rsidRPr="00F13860">
              <w:rPr>
                <w:lang w:val="en-US"/>
              </w:rPr>
              <w:t xml:space="preserve">E-mail: </w:t>
            </w:r>
            <w:hyperlink r:id="rId8" w:history="1">
              <w:r w:rsidRPr="00F13860">
                <w:rPr>
                  <w:rStyle w:val="Hyperlink"/>
                  <w:lang w:val="en-US"/>
                </w:rPr>
                <w:t>weller@agri.huji.ac.il</w:t>
              </w:r>
            </w:hyperlink>
          </w:p>
          <w:p w:rsidR="002E7CA1" w:rsidRPr="00F13860" w:rsidRDefault="00B3669D" w:rsidP="00B3669D">
            <w:r w:rsidRPr="00F13860">
              <w:rPr>
                <w:lang w:val="en-US"/>
              </w:rPr>
              <w:t xml:space="preserve">Web site: </w:t>
            </w:r>
            <w:hyperlink r:id="rId9" w:history="1">
              <w:r w:rsidRPr="00F13860">
                <w:rPr>
                  <w:rStyle w:val="Hyperlink"/>
                </w:rPr>
                <w:t>http://www.agri.gov.il/People/JoelWeller.html</w:t>
              </w:r>
            </w:hyperlink>
          </w:p>
        </w:tc>
      </w:tr>
    </w:tbl>
    <w:p w:rsidR="002E7CA1" w:rsidRDefault="002E7CA1">
      <w:pP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1) Either: Production (e.g. milk, fat, protein), Conformation, Health (e.g. mastitis resistance, milk somatic cell, resistance to diseases other than mastitis), Longevity</w:t>
      </w:r>
      <w:r w:rsidR="001A7A77">
        <w:rPr>
          <w:sz w:val="18"/>
          <w:szCs w:val="18"/>
          <w:lang w:val="en-GB"/>
        </w:rPr>
        <w:t xml:space="preserve"> (e.g. direct longevity, combined longevity)</w:t>
      </w:r>
      <w:r>
        <w:rPr>
          <w:sz w:val="18"/>
          <w:szCs w:val="18"/>
          <w:lang w:val="en-GB"/>
        </w:rPr>
        <w:t>, Calving (e.g. stillbirth, calving ease), Female fertility (e.g. non-return rate, interval between reproductive events, number of AI’s, heat strength), Workability (e.g. milking speed, temperament), Beef production, Efficiency (e.g. body weight, energy balance, body conditioning score), or Other traits.</w:t>
      </w:r>
    </w:p>
    <w:p w:rsidR="002E7CA1" w:rsidRDefault="002E7CA1">
      <w:pP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2) Indicate frequencies per category if the trait is categorical and specify transformation of data if practiced.</w:t>
      </w:r>
    </w:p>
    <w:p w:rsidR="002E7CA1" w:rsidRDefault="002E7CA1">
      <w:pP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3) Use abbreviations for most common effects (see document with list of abbreviations at </w:t>
      </w:r>
      <w:r>
        <w:rPr>
          <w:sz w:val="18"/>
          <w:szCs w:val="18"/>
        </w:rPr>
        <w:t>http://www-interbull.slu.se/service_documentation/General/list_of_abbreviations.rtf</w:t>
      </w:r>
      <w:r>
        <w:rPr>
          <w:sz w:val="18"/>
          <w:szCs w:val="18"/>
          <w:lang w:val="en-GB"/>
        </w:rPr>
        <w:t>) and indicate random (R) or fixed (F).</w:t>
      </w:r>
    </w:p>
    <w:p w:rsidR="002E7CA1" w:rsidRDefault="002E7CA1">
      <w:pP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4) Please give economic weights and indicate how they are expressed (preferably in genetic standard deviation units).</w:t>
      </w:r>
    </w:p>
    <w:p w:rsidR="002E7CA1" w:rsidRDefault="002E7CA1">
      <w:pPr>
        <w:rPr>
          <w:sz w:val="18"/>
          <w:szCs w:val="18"/>
          <w:lang w:val="en-GB"/>
        </w:rPr>
      </w:pPr>
    </w:p>
    <w:p w:rsidR="002E7CA1" w:rsidRDefault="002E7CA1">
      <w:pPr>
        <w:rPr>
          <w:sz w:val="18"/>
          <w:szCs w:val="18"/>
          <w:lang w:val="en-GB"/>
        </w:rPr>
      </w:pPr>
    </w:p>
    <w:p w:rsidR="002E7CA1" w:rsidRDefault="002E7CA1">
      <w:pPr>
        <w:jc w:val="center"/>
        <w:rPr>
          <w:sz w:val="18"/>
          <w:szCs w:val="18"/>
          <w:lang w:val="en-GB"/>
        </w:rPr>
        <w:sectPr w:rsidR="002E7CA1">
          <w:headerReference w:type="default" r:id="rId10"/>
          <w:footerReference w:type="default" r:id="rId11"/>
          <w:pgSz w:w="11907" w:h="16840" w:code="9"/>
          <w:pgMar w:top="1134" w:right="1298" w:bottom="1560" w:left="1298" w:header="720" w:footer="720" w:gutter="0"/>
          <w:pgNumType w:start="1"/>
          <w:cols w:space="720"/>
        </w:sectPr>
      </w:pPr>
    </w:p>
    <w:p w:rsidR="002E7CA1" w:rsidRDefault="002E7CA1">
      <w:pPr>
        <w:spacing w:line="312" w:lineRule="atLeast"/>
        <w:jc w:val="center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lastRenderedPageBreak/>
        <w:t xml:space="preserve">Parameters for national genetic evaluations for longevity traits as provided to </w:t>
      </w:r>
      <w:proofErr w:type="spellStart"/>
      <w:r>
        <w:rPr>
          <w:b/>
          <w:bCs/>
          <w:sz w:val="22"/>
          <w:szCs w:val="22"/>
          <w:lang w:val="en-GB"/>
        </w:rPr>
        <w:t>Interbull</w:t>
      </w:r>
      <w:proofErr w:type="spellEnd"/>
    </w:p>
    <w:p w:rsidR="002E7CA1" w:rsidRDefault="002E7CA1">
      <w:pPr>
        <w:spacing w:line="312" w:lineRule="atLeast"/>
        <w:outlineLvl w:val="0"/>
        <w:rPr>
          <w:b/>
          <w:bCs/>
          <w:sz w:val="22"/>
          <w:szCs w:val="22"/>
          <w:lang w:val="en-GB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085"/>
        <w:gridCol w:w="6804"/>
      </w:tblGrid>
      <w:tr w:rsidR="002E7CA1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2E7CA1" w:rsidRDefault="002E7CA1">
            <w:pPr>
              <w:spacing w:line="312" w:lineRule="atLeast"/>
              <w:outlineLvl w:val="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Country (or countries):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2E7CA1" w:rsidRDefault="003A691D">
            <w:pPr>
              <w:spacing w:line="312" w:lineRule="atLeast"/>
              <w:outlineLvl w:val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Israel</w:t>
            </w:r>
          </w:p>
        </w:tc>
      </w:tr>
      <w:tr w:rsidR="002E7CA1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2E7CA1" w:rsidRDefault="002E7CA1">
            <w:pPr>
              <w:spacing w:line="312" w:lineRule="atLeast"/>
              <w:outlineLvl w:val="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Main trait group: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2E7CA1" w:rsidRDefault="002E7CA1">
            <w:pPr>
              <w:spacing w:line="312" w:lineRule="atLeast"/>
              <w:outlineLvl w:val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Longevity</w:t>
            </w:r>
          </w:p>
        </w:tc>
      </w:tr>
      <w:tr w:rsidR="002E7CA1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2E7CA1" w:rsidRDefault="002E7CA1">
            <w:pPr>
              <w:spacing w:line="312" w:lineRule="atLeast"/>
              <w:outlineLvl w:val="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Breed(s):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2E7CA1" w:rsidRDefault="003A691D">
            <w:pPr>
              <w:spacing w:line="312" w:lineRule="atLeast"/>
              <w:outlineLvl w:val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Holstein</w:t>
            </w:r>
          </w:p>
        </w:tc>
      </w:tr>
    </w:tbl>
    <w:p w:rsidR="002E7CA1" w:rsidRDefault="002E7CA1">
      <w:pPr>
        <w:rPr>
          <w:sz w:val="22"/>
          <w:szCs w:val="22"/>
          <w:lang w:val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35"/>
        <w:gridCol w:w="1709"/>
        <w:gridCol w:w="1693"/>
        <w:gridCol w:w="4252"/>
      </w:tblGrid>
      <w:tr w:rsidR="002E7CA1">
        <w:tc>
          <w:tcPr>
            <w:tcW w:w="2235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2E7CA1" w:rsidRDefault="002E7CA1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Trait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2E7CA1" w:rsidRDefault="002E7CA1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h</w:t>
            </w:r>
            <w:r>
              <w:rPr>
                <w:sz w:val="22"/>
                <w:szCs w:val="22"/>
                <w:vertAlign w:val="superscript"/>
                <w:lang w:val="en-GB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2E7CA1" w:rsidRDefault="002E7CA1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genetic</w:t>
            </w:r>
          </w:p>
          <w:p w:rsidR="002E7CA1" w:rsidRDefault="002E7CA1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variance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2E7CA1" w:rsidRDefault="002E7CA1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official proof</w:t>
            </w:r>
          </w:p>
          <w:p w:rsidR="002E7CA1" w:rsidRDefault="002E7CA1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standardisation </w:t>
            </w:r>
            <w:proofErr w:type="spellStart"/>
            <w:r>
              <w:rPr>
                <w:sz w:val="22"/>
                <w:szCs w:val="22"/>
                <w:lang w:val="en-GB"/>
              </w:rPr>
              <w:t>formula</w:t>
            </w:r>
            <w:r>
              <w:rPr>
                <w:sz w:val="22"/>
                <w:szCs w:val="22"/>
                <w:vertAlign w:val="superscript"/>
                <w:lang w:val="en-GB"/>
              </w:rPr>
              <w:t>a</w:t>
            </w:r>
            <w:proofErr w:type="spellEnd"/>
          </w:p>
        </w:tc>
      </w:tr>
      <w:tr w:rsidR="002E7CA1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2E7CA1" w:rsidRDefault="002E7CA1">
            <w:pPr>
              <w:spacing w:before="6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Direct longevity:</w:t>
            </w:r>
          </w:p>
          <w:p w:rsidR="002E7CA1" w:rsidRDefault="002E7CA1">
            <w:pPr>
              <w:spacing w:before="60"/>
              <w:rPr>
                <w:sz w:val="22"/>
                <w:szCs w:val="22"/>
                <w:lang w:val="en-GB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2E7CA1" w:rsidRDefault="00E05EAB">
            <w:pPr>
              <w:spacing w:before="6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0.1</w:t>
            </w:r>
            <w:r w:rsidR="00BC1E72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:rsidR="002E7CA1" w:rsidRDefault="00485537">
            <w:pPr>
              <w:spacing w:before="6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5</w:t>
            </w:r>
            <w:r w:rsidR="00BC1E72">
              <w:rPr>
                <w:sz w:val="22"/>
                <w:szCs w:val="22"/>
                <w:lang w:val="en-GB"/>
              </w:rPr>
              <w:t>4</w:t>
            </w:r>
            <w:r>
              <w:rPr>
                <w:sz w:val="22"/>
                <w:szCs w:val="22"/>
                <w:lang w:val="en-GB"/>
              </w:rPr>
              <w:t>,</w:t>
            </w:r>
            <w:r w:rsidR="00BC1E72">
              <w:rPr>
                <w:sz w:val="22"/>
                <w:szCs w:val="22"/>
                <w:lang w:val="en-GB"/>
              </w:rPr>
              <w:t>8</w:t>
            </w:r>
            <w:r>
              <w:rPr>
                <w:sz w:val="22"/>
                <w:szCs w:val="22"/>
                <w:lang w:val="en-GB"/>
              </w:rPr>
              <w:t>00 days</w:t>
            </w:r>
            <w:r w:rsidRPr="00485537">
              <w:rPr>
                <w:sz w:val="22"/>
                <w:szCs w:val="22"/>
                <w:vertAlign w:val="superscript"/>
                <w:lang w:val="en-GB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E7CA1" w:rsidRDefault="003A691D">
            <w:pPr>
              <w:spacing w:before="6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US"/>
              </w:rPr>
              <w:t>No standardization is applied</w:t>
            </w:r>
          </w:p>
        </w:tc>
      </w:tr>
      <w:tr w:rsidR="002E7CA1">
        <w:tc>
          <w:tcPr>
            <w:tcW w:w="2235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:rsidR="002E7CA1" w:rsidRDefault="002E7CA1">
            <w:pPr>
              <w:spacing w:before="6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Combined longevity:</w:t>
            </w:r>
          </w:p>
          <w:p w:rsidR="002E7CA1" w:rsidRDefault="002E7CA1">
            <w:pPr>
              <w:spacing w:before="60"/>
              <w:rPr>
                <w:sz w:val="22"/>
                <w:szCs w:val="22"/>
                <w:lang w:val="en-GB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:rsidR="002E7CA1" w:rsidRDefault="002E7CA1">
            <w:pPr>
              <w:spacing w:before="60"/>
              <w:rPr>
                <w:sz w:val="22"/>
                <w:szCs w:val="22"/>
                <w:lang w:val="en-GB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:rsidR="002E7CA1" w:rsidRDefault="002E7CA1">
            <w:pPr>
              <w:spacing w:before="60"/>
              <w:rPr>
                <w:sz w:val="22"/>
                <w:szCs w:val="22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:rsidR="002E7CA1" w:rsidRDefault="002E7CA1">
            <w:pPr>
              <w:spacing w:before="60"/>
              <w:rPr>
                <w:sz w:val="22"/>
                <w:szCs w:val="22"/>
                <w:lang w:val="en-GB"/>
              </w:rPr>
            </w:pPr>
          </w:p>
        </w:tc>
      </w:tr>
    </w:tbl>
    <w:p w:rsidR="002E7CA1" w:rsidRDefault="002E7CA1">
      <w:pPr>
        <w:ind w:left="284" w:hanging="284"/>
        <w:rPr>
          <w:sz w:val="22"/>
          <w:szCs w:val="22"/>
          <w:lang w:val="en-GB"/>
        </w:rPr>
      </w:pPr>
      <w:proofErr w:type="spellStart"/>
      <w:proofErr w:type="gramStart"/>
      <w:r>
        <w:rPr>
          <w:sz w:val="22"/>
          <w:szCs w:val="22"/>
          <w:vertAlign w:val="superscript"/>
          <w:lang w:val="en-GB"/>
        </w:rPr>
        <w:t>a</w:t>
      </w:r>
      <w:proofErr w:type="spellEnd"/>
      <w:proofErr w:type="gramEnd"/>
      <w:r>
        <w:rPr>
          <w:sz w:val="22"/>
          <w:szCs w:val="22"/>
          <w:lang w:val="en-GB"/>
        </w:rPr>
        <w:tab/>
        <w:t>Expressed as follows:</w:t>
      </w:r>
      <w:r>
        <w:rPr>
          <w:sz w:val="22"/>
          <w:szCs w:val="22"/>
          <w:lang w:val="en-GB"/>
        </w:rPr>
        <w:br/>
      </w:r>
      <w:proofErr w:type="spellStart"/>
      <w:r>
        <w:rPr>
          <w:sz w:val="22"/>
          <w:szCs w:val="22"/>
          <w:lang w:val="en-GB"/>
        </w:rPr>
        <w:t>StandEval</w:t>
      </w:r>
      <w:proofErr w:type="spellEnd"/>
      <w:r>
        <w:rPr>
          <w:sz w:val="22"/>
          <w:szCs w:val="22"/>
          <w:lang w:val="en-GB"/>
        </w:rPr>
        <w:t>=((</w:t>
      </w:r>
      <w:proofErr w:type="spellStart"/>
      <w:r>
        <w:rPr>
          <w:sz w:val="22"/>
          <w:szCs w:val="22"/>
          <w:lang w:val="en-GB"/>
        </w:rPr>
        <w:t>eval</w:t>
      </w:r>
      <w:proofErr w:type="spellEnd"/>
      <w:r>
        <w:rPr>
          <w:sz w:val="22"/>
          <w:szCs w:val="22"/>
          <w:lang w:val="en-GB"/>
        </w:rPr>
        <w:t>-a)/b)*</w:t>
      </w:r>
      <w:proofErr w:type="spellStart"/>
      <w:r>
        <w:rPr>
          <w:sz w:val="22"/>
          <w:szCs w:val="22"/>
          <w:lang w:val="en-GB"/>
        </w:rPr>
        <w:t>c+d</w:t>
      </w:r>
      <w:proofErr w:type="spellEnd"/>
      <w:r>
        <w:rPr>
          <w:sz w:val="22"/>
          <w:szCs w:val="22"/>
          <w:lang w:val="en-GB"/>
        </w:rPr>
        <w:t xml:space="preserve"> where a=mean of the base adjustment, b=standard deviation of the base, c=standard deviation of expression (include sign if scale is reversed), and d=base of expression.</w:t>
      </w:r>
    </w:p>
    <w:p w:rsidR="002E7CA1" w:rsidRDefault="002E7CA1">
      <w:pPr>
        <w:ind w:left="284" w:hanging="284"/>
        <w:rPr>
          <w:lang w:val="en-GB"/>
        </w:rPr>
      </w:pPr>
    </w:p>
    <w:p w:rsidR="002E7CA1" w:rsidRDefault="002E7CA1">
      <w:pPr>
        <w:ind w:left="284" w:hanging="284"/>
        <w:rPr>
          <w:sz w:val="22"/>
          <w:szCs w:val="22"/>
          <w:lang w:val="en-GB"/>
        </w:rPr>
      </w:pPr>
    </w:p>
    <w:p w:rsidR="002E7CA1" w:rsidRDefault="002E7CA1">
      <w:pPr>
        <w:ind w:left="284" w:hanging="284"/>
        <w:rPr>
          <w:lang w:val="en-GB"/>
        </w:rPr>
      </w:pPr>
    </w:p>
    <w:sectPr w:rsidR="002E7CA1">
      <w:headerReference w:type="default" r:id="rId12"/>
      <w:pgSz w:w="11907" w:h="16840" w:code="9"/>
      <w:pgMar w:top="1134" w:right="1298" w:bottom="851" w:left="129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30F" w:rsidRDefault="0040430F">
      <w:r>
        <w:separator/>
      </w:r>
    </w:p>
  </w:endnote>
  <w:endnote w:type="continuationSeparator" w:id="0">
    <w:p w:rsidR="0040430F" w:rsidRDefault="00404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CA1" w:rsidRDefault="002E7CA1">
    <w:pPr>
      <w:pStyle w:val="Footer"/>
      <w:rPr>
        <w:b/>
        <w:bCs/>
        <w:sz w:val="22"/>
        <w:szCs w:val="22"/>
        <w:lang w:val="en-GB"/>
      </w:rPr>
    </w:pPr>
    <w:r>
      <w:rPr>
        <w:b/>
        <w:bCs/>
        <w:sz w:val="22"/>
        <w:szCs w:val="22"/>
        <w:lang w:val="en-GB"/>
      </w:rPr>
      <w:t>Form revised December 10, 2003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30F" w:rsidRDefault="0040430F">
      <w:r>
        <w:separator/>
      </w:r>
    </w:p>
  </w:footnote>
  <w:footnote w:type="continuationSeparator" w:id="0">
    <w:p w:rsidR="0040430F" w:rsidRDefault="00404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CA1" w:rsidRDefault="002E7CA1">
    <w:pPr>
      <w:pStyle w:val="Header"/>
      <w:framePr w:w="576" w:wrap="auto" w:vAnchor="page" w:hAnchor="page" w:x="10945" w:y="721"/>
      <w:tabs>
        <w:tab w:val="clear" w:pos="8640"/>
        <w:tab w:val="right" w:pos="9356"/>
      </w:tabs>
      <w:ind w:right="-45"/>
      <w:jc w:val="right"/>
      <w:rPr>
        <w:rStyle w:val="PageNumber"/>
        <w:rFonts w:ascii="Times New Roman" w:hAnsi="Times New Roman"/>
      </w:rPr>
    </w:pPr>
  </w:p>
  <w:p w:rsidR="002E7CA1" w:rsidRDefault="002E7CA1">
    <w:pPr>
      <w:pStyle w:val="Header"/>
      <w:tabs>
        <w:tab w:val="clear" w:pos="8640"/>
        <w:tab w:val="right" w:pos="9356"/>
      </w:tabs>
      <w:ind w:right="-45"/>
      <w:rPr>
        <w:rFonts w:ascii="Times New Roman" w:hAnsi="Times New Roman" w:cs="Times New Roman"/>
        <w:lang w:val="sv-SE"/>
      </w:rPr>
    </w:pPr>
    <w:r>
      <w:rPr>
        <w:rFonts w:ascii="Times New Roman" w:hAnsi="Times New Roman" w:cs="Times New Roman"/>
        <w:b/>
        <w:bCs/>
        <w:sz w:val="24"/>
        <w:szCs w:val="24"/>
        <w:lang w:val="sv-SE"/>
      </w:rPr>
      <w:t>FORM GE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CA1" w:rsidRDefault="002E7CA1">
    <w:pPr>
      <w:pStyle w:val="Header"/>
      <w:framePr w:w="576" w:wrap="auto" w:vAnchor="page" w:hAnchor="page" w:x="10945" w:y="721"/>
      <w:tabs>
        <w:tab w:val="clear" w:pos="8640"/>
        <w:tab w:val="right" w:pos="9356"/>
      </w:tabs>
      <w:ind w:right="-45"/>
      <w:jc w:val="right"/>
      <w:rPr>
        <w:rStyle w:val="PageNumber"/>
        <w:rFonts w:ascii="Times New Roman" w:hAnsi="Times New Roman"/>
      </w:rPr>
    </w:pPr>
  </w:p>
  <w:p w:rsidR="002E7CA1" w:rsidRDefault="002E7CA1">
    <w:pPr>
      <w:pStyle w:val="Header"/>
      <w:tabs>
        <w:tab w:val="clear" w:pos="8640"/>
        <w:tab w:val="right" w:pos="9356"/>
      </w:tabs>
      <w:ind w:right="-45"/>
      <w:rPr>
        <w:rFonts w:ascii="Times New Roman" w:hAnsi="Times New Roman" w:cs="Times New Roman"/>
        <w:lang w:val="en-GB"/>
      </w:rPr>
    </w:pPr>
    <w:r>
      <w:rPr>
        <w:rFonts w:ascii="Times New Roman" w:hAnsi="Times New Roman" w:cs="Times New Roman"/>
        <w:b/>
        <w:bCs/>
        <w:sz w:val="24"/>
        <w:szCs w:val="24"/>
        <w:lang w:val="en-GB"/>
      </w:rPr>
      <w:t>FORM GE</w:t>
    </w:r>
    <w:r>
      <w:rPr>
        <w:rFonts w:ascii="Times New Roman" w:hAnsi="Times New Roman" w:cs="Times New Roman"/>
        <w:b/>
        <w:bCs/>
        <w:sz w:val="24"/>
        <w:szCs w:val="24"/>
        <w:lang w:val="en-GB"/>
      </w:rPr>
      <w:tab/>
    </w:r>
    <w:r>
      <w:rPr>
        <w:rFonts w:ascii="Times New Roman" w:hAnsi="Times New Roman" w:cs="Times New Roman"/>
        <w:b/>
        <w:bCs/>
        <w:sz w:val="24"/>
        <w:szCs w:val="24"/>
        <w:lang w:val="en-GB"/>
      </w:rPr>
      <w:tab/>
      <w:t>APPENDIX 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649F2"/>
    <w:lvl w:ilvl="0">
      <w:start w:val="1"/>
      <w:numFmt w:val="decimal"/>
      <w:pStyle w:val="ListNumber2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81E02B6"/>
    <w:lvl w:ilvl="0">
      <w:start w:val="1"/>
      <w:numFmt w:val="decimal"/>
      <w:pStyle w:val="ListNumber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582B106"/>
    <w:lvl w:ilvl="0">
      <w:start w:val="1"/>
      <w:numFmt w:val="decimal"/>
      <w:pStyle w:val="ListBullet5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F92C21A"/>
    <w:lvl w:ilvl="0">
      <w:start w:val="1"/>
      <w:numFmt w:val="decimal"/>
      <w:pStyle w:val="ListBullet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FB41B0A"/>
    <w:lvl w:ilvl="0">
      <w:start w:val="1"/>
      <w:numFmt w:val="bullet"/>
      <w:pStyle w:val="ListBullet2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B84B1BE"/>
    <w:lvl w:ilvl="0">
      <w:start w:val="1"/>
      <w:numFmt w:val="bullet"/>
      <w:pStyle w:val="List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7E5876"/>
    <w:lvl w:ilvl="0">
      <w:start w:val="1"/>
      <w:numFmt w:val="bullet"/>
      <w:pStyle w:val="ListNumber5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84EABE"/>
    <w:lvl w:ilvl="0">
      <w:start w:val="1"/>
      <w:numFmt w:val="bullet"/>
      <w:pStyle w:val="ListNumber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960B33C"/>
    <w:lvl w:ilvl="0">
      <w:start w:val="1"/>
      <w:numFmt w:val="decimal"/>
      <w:pStyle w:val="ListBullet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88AA88C"/>
    <w:lvl w:ilvl="0">
      <w:start w:val="1"/>
      <w:numFmt w:val="bullet"/>
      <w:pStyle w:val="ListNumber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CA1"/>
    <w:rsid w:val="000436FA"/>
    <w:rsid w:val="0019274F"/>
    <w:rsid w:val="001A7A77"/>
    <w:rsid w:val="002C7E64"/>
    <w:rsid w:val="002E7CA1"/>
    <w:rsid w:val="003A691D"/>
    <w:rsid w:val="003E49B6"/>
    <w:rsid w:val="0040430F"/>
    <w:rsid w:val="00430E1B"/>
    <w:rsid w:val="0045759D"/>
    <w:rsid w:val="004753FC"/>
    <w:rsid w:val="00485537"/>
    <w:rsid w:val="004B3E5E"/>
    <w:rsid w:val="005D4554"/>
    <w:rsid w:val="00601D4F"/>
    <w:rsid w:val="0065244B"/>
    <w:rsid w:val="00682A8B"/>
    <w:rsid w:val="006A2F39"/>
    <w:rsid w:val="006E15BF"/>
    <w:rsid w:val="00711E9C"/>
    <w:rsid w:val="0076120F"/>
    <w:rsid w:val="00772D6B"/>
    <w:rsid w:val="0077424C"/>
    <w:rsid w:val="00902016"/>
    <w:rsid w:val="009D1C2A"/>
    <w:rsid w:val="009F6DF3"/>
    <w:rsid w:val="00A922D7"/>
    <w:rsid w:val="00B3669D"/>
    <w:rsid w:val="00BC1E72"/>
    <w:rsid w:val="00BC55EB"/>
    <w:rsid w:val="00CC24AE"/>
    <w:rsid w:val="00CC3743"/>
    <w:rsid w:val="00CD3224"/>
    <w:rsid w:val="00D1413D"/>
    <w:rsid w:val="00D41FDA"/>
    <w:rsid w:val="00E05EAB"/>
    <w:rsid w:val="00E16ADC"/>
    <w:rsid w:val="00E4640B"/>
    <w:rsid w:val="00F13860"/>
    <w:rsid w:val="00F57C5F"/>
    <w:rsid w:val="00F9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l-G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Pr>
      <w:rFonts w:cs="Times New Roman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  <w:rPr>
      <w:rFonts w:ascii="Courier" w:hAnsi="Courier" w:cs="Courier"/>
      <w:lang w:val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rPr>
      <w:sz w:val="22"/>
      <w:szCs w:val="22"/>
      <w:lang w:val="en-GB"/>
    </w:rPr>
  </w:style>
  <w:style w:type="paragraph" w:styleId="Date">
    <w:name w:val="Date"/>
    <w:basedOn w:val="Normal"/>
    <w:next w:val="InsideAddressName"/>
    <w:pPr>
      <w:spacing w:after="220"/>
      <w:ind w:left="4565"/>
      <w:jc w:val="both"/>
    </w:pPr>
    <w:rPr>
      <w:rFonts w:ascii="Garamond" w:hAnsi="Garamond" w:cs="Garamond"/>
      <w:kern w:val="18"/>
      <w:sz w:val="24"/>
      <w:szCs w:val="24"/>
      <w:lang w:val="en-GB"/>
    </w:rPr>
  </w:style>
  <w:style w:type="paragraph" w:customStyle="1" w:styleId="InsideAddress">
    <w:name w:val="Inside Address"/>
    <w:basedOn w:val="Normal"/>
    <w:pPr>
      <w:spacing w:line="240" w:lineRule="atLeast"/>
      <w:jc w:val="both"/>
    </w:pPr>
    <w:rPr>
      <w:rFonts w:ascii="Garamond" w:hAnsi="Garamond" w:cs="Garamond"/>
      <w:kern w:val="18"/>
      <w:sz w:val="24"/>
      <w:szCs w:val="24"/>
      <w:lang w:val="en-GB"/>
    </w:r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 w:cs="Garamond"/>
      <w:caps/>
      <w:spacing w:val="30"/>
      <w:sz w:val="14"/>
      <w:szCs w:val="14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FollowedHyperlink">
    <w:name w:val="FollowedHyperlink"/>
    <w:rPr>
      <w:rFonts w:cs="Times New Roman"/>
      <w:color w:val="800080"/>
      <w:u w:val="single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</w:pPr>
    <w:rPr>
      <w:sz w:val="20"/>
      <w:szCs w:val="20"/>
      <w:lang w:val="el-GR"/>
    </w:r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semiHidden/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Pr>
      <w:rFonts w:ascii="Arial" w:hAnsi="Arial" w:cs="Arial"/>
    </w:rPr>
  </w:style>
  <w:style w:type="paragraph" w:styleId="FootnoteText">
    <w:name w:val="footnote text"/>
    <w:basedOn w:val="Normal"/>
    <w:semiHidden/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1"/>
      </w:numPr>
      <w:ind w:left="360"/>
    </w:pPr>
  </w:style>
  <w:style w:type="paragraph" w:styleId="ListBullet2">
    <w:name w:val="List Bullet 2"/>
    <w:basedOn w:val="Normal"/>
    <w:autoRedefine/>
    <w:pPr>
      <w:numPr>
        <w:numId w:val="2"/>
      </w:numPr>
      <w:tabs>
        <w:tab w:val="num" w:pos="643"/>
      </w:tabs>
      <w:ind w:left="643"/>
    </w:p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360"/>
        <w:tab w:val="num" w:pos="926"/>
      </w:tabs>
      <w:ind w:left="926"/>
    </w:pPr>
  </w:style>
  <w:style w:type="paragraph" w:styleId="ListBullet4">
    <w:name w:val="List Bullet 4"/>
    <w:basedOn w:val="Normal"/>
    <w:autoRedefine/>
    <w:pPr>
      <w:numPr>
        <w:numId w:val="4"/>
      </w:numPr>
      <w:tabs>
        <w:tab w:val="num" w:pos="1209"/>
      </w:tabs>
      <w:ind w:left="1209"/>
    </w:pPr>
  </w:style>
  <w:style w:type="paragraph" w:styleId="ListBullet5">
    <w:name w:val="List Bullet 5"/>
    <w:basedOn w:val="Normal"/>
    <w:autoRedefine/>
    <w:pPr>
      <w:numPr>
        <w:numId w:val="5"/>
      </w:numPr>
      <w:tabs>
        <w:tab w:val="num" w:pos="1492"/>
      </w:tabs>
      <w:ind w:left="1492"/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6"/>
      </w:numPr>
      <w:ind w:left="360"/>
    </w:pPr>
  </w:style>
  <w:style w:type="paragraph" w:styleId="ListNumber2">
    <w:name w:val="List Number 2"/>
    <w:basedOn w:val="Normal"/>
    <w:pPr>
      <w:numPr>
        <w:numId w:val="7"/>
      </w:numPr>
      <w:tabs>
        <w:tab w:val="num" w:pos="643"/>
      </w:tabs>
      <w:ind w:left="643"/>
    </w:pPr>
  </w:style>
  <w:style w:type="paragraph" w:styleId="ListNumber3">
    <w:name w:val="List Number 3"/>
    <w:basedOn w:val="Normal"/>
    <w:pPr>
      <w:numPr>
        <w:numId w:val="8"/>
      </w:numPr>
      <w:tabs>
        <w:tab w:val="clear" w:pos="360"/>
        <w:tab w:val="num" w:pos="926"/>
      </w:tabs>
      <w:ind w:left="926"/>
    </w:pPr>
  </w:style>
  <w:style w:type="paragraph" w:styleId="ListNumber4">
    <w:name w:val="List Number 4"/>
    <w:basedOn w:val="Normal"/>
    <w:pPr>
      <w:numPr>
        <w:numId w:val="9"/>
      </w:numPr>
      <w:tabs>
        <w:tab w:val="num" w:pos="1209"/>
      </w:tabs>
      <w:ind w:left="1209"/>
    </w:pPr>
  </w:style>
  <w:style w:type="paragraph" w:styleId="ListNumber5">
    <w:name w:val="List Number 5"/>
    <w:basedOn w:val="Normal"/>
    <w:pPr>
      <w:numPr>
        <w:numId w:val="10"/>
      </w:numPr>
      <w:tabs>
        <w:tab w:val="num" w:pos="1492"/>
      </w:tabs>
      <w:ind w:left="1492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l-GR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Indent">
    <w:name w:val="Normal Indent"/>
    <w:basedOn w:val="Normal"/>
    <w:pPr>
      <w:ind w:left="1304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character" w:styleId="FootnoteReference">
    <w:name w:val="footnote reference"/>
    <w:semiHidden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l-G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Pr>
      <w:rFonts w:cs="Times New Roman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  <w:rPr>
      <w:rFonts w:ascii="Courier" w:hAnsi="Courier" w:cs="Courier"/>
      <w:lang w:val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rPr>
      <w:sz w:val="22"/>
      <w:szCs w:val="22"/>
      <w:lang w:val="en-GB"/>
    </w:rPr>
  </w:style>
  <w:style w:type="paragraph" w:styleId="Date">
    <w:name w:val="Date"/>
    <w:basedOn w:val="Normal"/>
    <w:next w:val="InsideAddressName"/>
    <w:pPr>
      <w:spacing w:after="220"/>
      <w:ind w:left="4565"/>
      <w:jc w:val="both"/>
    </w:pPr>
    <w:rPr>
      <w:rFonts w:ascii="Garamond" w:hAnsi="Garamond" w:cs="Garamond"/>
      <w:kern w:val="18"/>
      <w:sz w:val="24"/>
      <w:szCs w:val="24"/>
      <w:lang w:val="en-GB"/>
    </w:rPr>
  </w:style>
  <w:style w:type="paragraph" w:customStyle="1" w:styleId="InsideAddress">
    <w:name w:val="Inside Address"/>
    <w:basedOn w:val="Normal"/>
    <w:pPr>
      <w:spacing w:line="240" w:lineRule="atLeast"/>
      <w:jc w:val="both"/>
    </w:pPr>
    <w:rPr>
      <w:rFonts w:ascii="Garamond" w:hAnsi="Garamond" w:cs="Garamond"/>
      <w:kern w:val="18"/>
      <w:sz w:val="24"/>
      <w:szCs w:val="24"/>
      <w:lang w:val="en-GB"/>
    </w:r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 w:cs="Garamond"/>
      <w:caps/>
      <w:spacing w:val="30"/>
      <w:sz w:val="14"/>
      <w:szCs w:val="14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FollowedHyperlink">
    <w:name w:val="FollowedHyperlink"/>
    <w:rPr>
      <w:rFonts w:cs="Times New Roman"/>
      <w:color w:val="800080"/>
      <w:u w:val="single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</w:pPr>
    <w:rPr>
      <w:sz w:val="20"/>
      <w:szCs w:val="20"/>
      <w:lang w:val="el-GR"/>
    </w:r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semiHidden/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Pr>
      <w:rFonts w:ascii="Arial" w:hAnsi="Arial" w:cs="Arial"/>
    </w:rPr>
  </w:style>
  <w:style w:type="paragraph" w:styleId="FootnoteText">
    <w:name w:val="footnote text"/>
    <w:basedOn w:val="Normal"/>
    <w:semiHidden/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1"/>
      </w:numPr>
      <w:ind w:left="360"/>
    </w:pPr>
  </w:style>
  <w:style w:type="paragraph" w:styleId="ListBullet2">
    <w:name w:val="List Bullet 2"/>
    <w:basedOn w:val="Normal"/>
    <w:autoRedefine/>
    <w:pPr>
      <w:numPr>
        <w:numId w:val="2"/>
      </w:numPr>
      <w:tabs>
        <w:tab w:val="num" w:pos="643"/>
      </w:tabs>
      <w:ind w:left="643"/>
    </w:p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360"/>
        <w:tab w:val="num" w:pos="926"/>
      </w:tabs>
      <w:ind w:left="926"/>
    </w:pPr>
  </w:style>
  <w:style w:type="paragraph" w:styleId="ListBullet4">
    <w:name w:val="List Bullet 4"/>
    <w:basedOn w:val="Normal"/>
    <w:autoRedefine/>
    <w:pPr>
      <w:numPr>
        <w:numId w:val="4"/>
      </w:numPr>
      <w:tabs>
        <w:tab w:val="num" w:pos="1209"/>
      </w:tabs>
      <w:ind w:left="1209"/>
    </w:pPr>
  </w:style>
  <w:style w:type="paragraph" w:styleId="ListBullet5">
    <w:name w:val="List Bullet 5"/>
    <w:basedOn w:val="Normal"/>
    <w:autoRedefine/>
    <w:pPr>
      <w:numPr>
        <w:numId w:val="5"/>
      </w:numPr>
      <w:tabs>
        <w:tab w:val="num" w:pos="1492"/>
      </w:tabs>
      <w:ind w:left="1492"/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6"/>
      </w:numPr>
      <w:ind w:left="360"/>
    </w:pPr>
  </w:style>
  <w:style w:type="paragraph" w:styleId="ListNumber2">
    <w:name w:val="List Number 2"/>
    <w:basedOn w:val="Normal"/>
    <w:pPr>
      <w:numPr>
        <w:numId w:val="7"/>
      </w:numPr>
      <w:tabs>
        <w:tab w:val="num" w:pos="643"/>
      </w:tabs>
      <w:ind w:left="643"/>
    </w:pPr>
  </w:style>
  <w:style w:type="paragraph" w:styleId="ListNumber3">
    <w:name w:val="List Number 3"/>
    <w:basedOn w:val="Normal"/>
    <w:pPr>
      <w:numPr>
        <w:numId w:val="8"/>
      </w:numPr>
      <w:tabs>
        <w:tab w:val="clear" w:pos="360"/>
        <w:tab w:val="num" w:pos="926"/>
      </w:tabs>
      <w:ind w:left="926"/>
    </w:pPr>
  </w:style>
  <w:style w:type="paragraph" w:styleId="ListNumber4">
    <w:name w:val="List Number 4"/>
    <w:basedOn w:val="Normal"/>
    <w:pPr>
      <w:numPr>
        <w:numId w:val="9"/>
      </w:numPr>
      <w:tabs>
        <w:tab w:val="num" w:pos="1209"/>
      </w:tabs>
      <w:ind w:left="1209"/>
    </w:pPr>
  </w:style>
  <w:style w:type="paragraph" w:styleId="ListNumber5">
    <w:name w:val="List Number 5"/>
    <w:basedOn w:val="Normal"/>
    <w:pPr>
      <w:numPr>
        <w:numId w:val="10"/>
      </w:numPr>
      <w:tabs>
        <w:tab w:val="num" w:pos="1492"/>
      </w:tabs>
      <w:ind w:left="1492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l-GR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Indent">
    <w:name w:val="Normal Indent"/>
    <w:basedOn w:val="Normal"/>
    <w:pPr>
      <w:ind w:left="1304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character" w:styleId="FootnoteReference">
    <w:name w:val="footnote reference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ller@agri.huji.ac.i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gri.gov.il/People/JoelWeller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994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1SM (SC and CM)</vt:lpstr>
    </vt:vector>
  </TitlesOfParts>
  <Company>SLU-Interbull</Company>
  <LinksUpToDate>false</LinksUpToDate>
  <CharactersWithSpaces>5958</CharactersWithSpaces>
  <SharedDoc>false</SharedDoc>
  <HLinks>
    <vt:vector size="12" baseType="variant">
      <vt:variant>
        <vt:i4>1704018</vt:i4>
      </vt:variant>
      <vt:variant>
        <vt:i4>3</vt:i4>
      </vt:variant>
      <vt:variant>
        <vt:i4>0</vt:i4>
      </vt:variant>
      <vt:variant>
        <vt:i4>5</vt:i4>
      </vt:variant>
      <vt:variant>
        <vt:lpwstr>http://www.agri.gov.il/People/JoelWeller.html</vt:lpwstr>
      </vt:variant>
      <vt:variant>
        <vt:lpwstr/>
      </vt:variant>
      <vt:variant>
        <vt:i4>7602271</vt:i4>
      </vt:variant>
      <vt:variant>
        <vt:i4>0</vt:i4>
      </vt:variant>
      <vt:variant>
        <vt:i4>0</vt:i4>
      </vt:variant>
      <vt:variant>
        <vt:i4>5</vt:i4>
      </vt:variant>
      <vt:variant>
        <vt:lpwstr>mailto:weller@agri.huji.ac.il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1SM (SC and CM)</dc:title>
  <dc:creator>Ulf Emanuelson</dc:creator>
  <dc:description>description of national genetic evaluation system for milk somatic cell and clinical mastitis</dc:description>
  <cp:lastModifiedBy>weller2</cp:lastModifiedBy>
  <cp:revision>4</cp:revision>
  <cp:lastPrinted>2003-06-05T09:47:00Z</cp:lastPrinted>
  <dcterms:created xsi:type="dcterms:W3CDTF">2014-11-16T10:03:00Z</dcterms:created>
  <dcterms:modified xsi:type="dcterms:W3CDTF">2014-11-16T12:59:00Z</dcterms:modified>
</cp:coreProperties>
</file>