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3E8F8" w14:textId="77777777"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eastAsia="sv-SE"/>
        </w:rPr>
      </w:pPr>
      <w:bookmarkStart w:id="0" w:name="texteditlink"/>
    </w:p>
    <w:p w14:paraId="22ED4903" w14:textId="29F0031D" w:rsidR="00942838" w:rsidRPr="00942838" w:rsidRDefault="00942838" w:rsidP="00AD72C5">
      <w:pPr>
        <w:spacing w:before="100" w:beforeAutospacing="1" w:after="100" w:afterAutospacing="1" w:line="240" w:lineRule="auto"/>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Status as of: </w:t>
      </w:r>
      <w:r w:rsidR="004E79F3">
        <w:rPr>
          <w:rFonts w:ascii="Times New Roman" w:eastAsia="Times New Roman" w:hAnsi="Times New Roman" w:cs="Times New Roman"/>
          <w:sz w:val="24"/>
          <w:szCs w:val="24"/>
          <w:lang w:eastAsia="sv-SE"/>
        </w:rPr>
        <w:t>201</w:t>
      </w:r>
      <w:r w:rsidR="007817C2">
        <w:rPr>
          <w:rFonts w:ascii="Times New Roman" w:eastAsia="Times New Roman" w:hAnsi="Times New Roman" w:cs="Times New Roman"/>
          <w:sz w:val="24"/>
          <w:szCs w:val="24"/>
          <w:lang w:eastAsia="sv-SE"/>
        </w:rPr>
        <w:t>9</w:t>
      </w:r>
      <w:r w:rsidR="004E79F3">
        <w:rPr>
          <w:rFonts w:ascii="Times New Roman" w:eastAsia="Times New Roman" w:hAnsi="Times New Roman" w:cs="Times New Roman"/>
          <w:sz w:val="24"/>
          <w:szCs w:val="24"/>
          <w:lang w:eastAsia="sv-SE"/>
        </w:rPr>
        <w:t>-</w:t>
      </w:r>
      <w:r w:rsidR="00906EF0">
        <w:rPr>
          <w:rFonts w:ascii="Times New Roman" w:eastAsia="Times New Roman" w:hAnsi="Times New Roman" w:cs="Times New Roman"/>
          <w:sz w:val="24"/>
          <w:szCs w:val="24"/>
          <w:lang w:eastAsia="sv-SE"/>
        </w:rPr>
        <w:t>04-1</w:t>
      </w:r>
      <w:r w:rsidR="007817C2">
        <w:rPr>
          <w:rFonts w:ascii="Times New Roman" w:eastAsia="Times New Roman" w:hAnsi="Times New Roman" w:cs="Times New Roman"/>
          <w:sz w:val="24"/>
          <w:szCs w:val="24"/>
          <w:lang w:eastAsia="sv-SE"/>
        </w:rPr>
        <w:t>6</w:t>
      </w:r>
      <w:r w:rsidRPr="00942838">
        <w:rPr>
          <w:rFonts w:ascii="Times New Roman" w:eastAsia="Times New Roman" w:hAnsi="Times New Roman" w:cs="Times New Roman"/>
          <w:sz w:val="24"/>
          <w:szCs w:val="24"/>
          <w:lang w:eastAsia="sv-SE"/>
        </w:rPr>
        <w:t xml:space="preserve"> </w:t>
      </w:r>
    </w:p>
    <w:p w14:paraId="0416C68B" w14:textId="77777777"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r w:rsidRPr="00942838">
        <w:rPr>
          <w:rFonts w:ascii="Times New Roman" w:eastAsia="Times New Roman" w:hAnsi="Times New Roman" w:cs="Times New Roman"/>
          <w:b/>
          <w:bCs/>
          <w:kern w:val="36"/>
          <w:sz w:val="48"/>
          <w:szCs w:val="48"/>
          <w:lang w:eastAsia="sv-SE"/>
        </w:rPr>
        <w:t>Form GENO</w:t>
      </w:r>
    </w:p>
    <w:p w14:paraId="78CB7CCA" w14:textId="77777777"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942838">
        <w:rPr>
          <w:rFonts w:ascii="Times New Roman" w:eastAsia="Times New Roman" w:hAnsi="Times New Roman" w:cs="Times New Roman"/>
          <w:b/>
          <w:bCs/>
          <w:sz w:val="36"/>
          <w:szCs w:val="36"/>
          <w:lang w:eastAsia="sv-SE"/>
        </w:rPr>
        <w:t>DESCRIPTION OF NATIONAL GENOMIC EVALUATION SYSTEMS</w:t>
      </w:r>
    </w:p>
    <w:tbl>
      <w:tblPr>
        <w:tblStyle w:val="Grilledutableau"/>
        <w:tblW w:w="5000" w:type="pct"/>
        <w:tblLook w:val="04A0" w:firstRow="1" w:lastRow="0" w:firstColumn="1" w:lastColumn="0" w:noHBand="0" w:noVBand="1"/>
      </w:tblPr>
      <w:tblGrid>
        <w:gridCol w:w="1974"/>
        <w:gridCol w:w="7042"/>
      </w:tblGrid>
      <w:tr w:rsidR="00942838" w:rsidRPr="00942838" w14:paraId="3AAF73C9" w14:textId="77777777" w:rsidTr="00813CB3">
        <w:tc>
          <w:tcPr>
            <w:tcW w:w="1095" w:type="pct"/>
            <w:hideMark/>
          </w:tcPr>
          <w:p w14:paraId="317F375D"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Country (or countries)</w:t>
            </w:r>
            <w:r w:rsidRPr="00942838">
              <w:rPr>
                <w:rFonts w:ascii="Times New Roman" w:eastAsia="Times New Roman" w:hAnsi="Times New Roman" w:cs="Times New Roman"/>
                <w:lang w:eastAsia="sv-SE"/>
              </w:rPr>
              <w:t xml:space="preserve"> </w:t>
            </w:r>
          </w:p>
        </w:tc>
        <w:tc>
          <w:tcPr>
            <w:tcW w:w="3905" w:type="pct"/>
            <w:hideMark/>
          </w:tcPr>
          <w:p w14:paraId="787BA680" w14:textId="77777777" w:rsidR="00942838" w:rsidRPr="00942838" w:rsidRDefault="00BA3F96"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France</w:t>
            </w:r>
          </w:p>
        </w:tc>
      </w:tr>
      <w:tr w:rsidR="00942838" w:rsidRPr="00942838" w14:paraId="60872C7B" w14:textId="77777777" w:rsidTr="00813CB3">
        <w:tc>
          <w:tcPr>
            <w:tcW w:w="1095" w:type="pct"/>
            <w:hideMark/>
          </w:tcPr>
          <w:p w14:paraId="77F9C673" w14:textId="77777777" w:rsidR="00B10888" w:rsidRDefault="00942838" w:rsidP="00B10888">
            <w:pPr>
              <w:rPr>
                <w:rFonts w:ascii="Times New Roman" w:eastAsia="Times New Roman" w:hAnsi="Times New Roman" w:cs="Times New Roman"/>
                <w:bCs/>
                <w:lang w:val="en-US" w:eastAsia="sv-SE"/>
              </w:rPr>
            </w:pPr>
            <w:r w:rsidRPr="00942838">
              <w:rPr>
                <w:rFonts w:ascii="Times New Roman" w:eastAsia="Times New Roman" w:hAnsi="Times New Roman" w:cs="Times New Roman"/>
                <w:bCs/>
                <w:lang w:val="en-US" w:eastAsia="sv-SE"/>
              </w:rPr>
              <w:t xml:space="preserve">Main trait </w:t>
            </w:r>
            <w:proofErr w:type="spellStart"/>
            <w:r w:rsidRPr="00942838">
              <w:rPr>
                <w:rFonts w:ascii="Times New Roman" w:eastAsia="Times New Roman" w:hAnsi="Times New Roman" w:cs="Times New Roman"/>
                <w:bCs/>
                <w:lang w:val="en-US" w:eastAsia="sv-SE"/>
              </w:rPr>
              <w:t>group</w:t>
            </w:r>
            <w:r w:rsidR="00B10888" w:rsidRPr="00B10888">
              <w:rPr>
                <w:rFonts w:ascii="Times New Roman" w:eastAsia="Times New Roman" w:hAnsi="Times New Roman" w:cs="Times New Roman"/>
                <w:bCs/>
                <w:vertAlign w:val="superscript"/>
                <w:lang w:val="en-US" w:eastAsia="sv-SE"/>
              </w:rPr>
              <w:t>a</w:t>
            </w:r>
            <w:proofErr w:type="spellEnd"/>
            <w:r w:rsidR="00B10888">
              <w:rPr>
                <w:rFonts w:ascii="Times New Roman" w:eastAsia="Times New Roman" w:hAnsi="Times New Roman" w:cs="Times New Roman"/>
                <w:bCs/>
                <w:lang w:val="en-US" w:eastAsia="sv-SE"/>
              </w:rPr>
              <w:t xml:space="preserve">. </w:t>
            </w:r>
          </w:p>
          <w:p w14:paraId="443F2137" w14:textId="77777777" w:rsidR="00942838" w:rsidRPr="00942838" w:rsidRDefault="00DD0FD9" w:rsidP="00B10888">
            <w:pPr>
              <w:rPr>
                <w:rFonts w:ascii="Times New Roman" w:eastAsia="Times New Roman" w:hAnsi="Times New Roman" w:cs="Times New Roman"/>
                <w:lang w:val="en-US" w:eastAsia="sv-SE"/>
              </w:rPr>
            </w:pPr>
            <w:r>
              <w:rPr>
                <w:rFonts w:ascii="Times New Roman" w:eastAsia="Times New Roman" w:hAnsi="Times New Roman" w:cs="Times New Roman"/>
                <w:bCs/>
                <w:lang w:val="en-US" w:eastAsia="sv-SE"/>
              </w:rPr>
              <w:t>NOTE.</w:t>
            </w:r>
            <w:r w:rsidR="00942838" w:rsidRPr="00942838">
              <w:rPr>
                <w:rFonts w:ascii="Times New Roman" w:eastAsia="Times New Roman" w:hAnsi="Times New Roman" w:cs="Times New Roman"/>
                <w:lang w:val="en-US" w:eastAsia="sv-SE"/>
              </w:rPr>
              <w:t xml:space="preserve"> Only one trait group per form! </w:t>
            </w:r>
          </w:p>
        </w:tc>
        <w:tc>
          <w:tcPr>
            <w:tcW w:w="3905" w:type="pct"/>
            <w:hideMark/>
          </w:tcPr>
          <w:p w14:paraId="44EA0323" w14:textId="31A70FA0" w:rsidR="00942838" w:rsidRPr="00942838" w:rsidRDefault="00AF0BA1"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Conformation</w:t>
            </w:r>
          </w:p>
        </w:tc>
      </w:tr>
      <w:tr w:rsidR="00942838" w:rsidRPr="00DD0FD9" w14:paraId="4BD1C580" w14:textId="77777777" w:rsidTr="00813CB3">
        <w:tc>
          <w:tcPr>
            <w:tcW w:w="1095" w:type="pct"/>
            <w:hideMark/>
          </w:tcPr>
          <w:p w14:paraId="3CC25190" w14:textId="77777777" w:rsidR="00942838" w:rsidRPr="00DD0FD9" w:rsidRDefault="00942838" w:rsidP="00942838">
            <w:pPr>
              <w:spacing w:before="100" w:beforeAutospacing="1" w:after="100" w:afterAutospacing="1"/>
              <w:rPr>
                <w:rFonts w:ascii="Times New Roman" w:eastAsia="Times New Roman" w:hAnsi="Times New Roman" w:cs="Times New Roman"/>
                <w:lang w:val="en-US" w:eastAsia="sv-SE"/>
              </w:rPr>
            </w:pPr>
            <w:r w:rsidRPr="00DD0FD9">
              <w:rPr>
                <w:rFonts w:ascii="Times New Roman" w:eastAsia="Times New Roman" w:hAnsi="Times New Roman" w:cs="Times New Roman"/>
                <w:bCs/>
                <w:lang w:val="en-US" w:eastAsia="sv-SE"/>
              </w:rPr>
              <w:t>Breed(s)</w:t>
            </w:r>
            <w:r w:rsidRPr="00DD0FD9">
              <w:rPr>
                <w:rFonts w:ascii="Times New Roman" w:eastAsia="Times New Roman" w:hAnsi="Times New Roman" w:cs="Times New Roman"/>
                <w:lang w:val="en-US" w:eastAsia="sv-SE"/>
              </w:rPr>
              <w:t xml:space="preserve"> </w:t>
            </w:r>
          </w:p>
        </w:tc>
        <w:tc>
          <w:tcPr>
            <w:tcW w:w="3905" w:type="pct"/>
            <w:hideMark/>
          </w:tcPr>
          <w:p w14:paraId="05BFC3DA" w14:textId="664E0432" w:rsidR="00A762AC" w:rsidRPr="00891522" w:rsidRDefault="00A762AC" w:rsidP="00A762AC">
            <w:r w:rsidRPr="00891522">
              <w:t xml:space="preserve">[I] </w:t>
            </w:r>
            <w:r w:rsidR="008D1F89">
              <w:t>Holstein</w:t>
            </w:r>
            <w:r w:rsidRPr="00891522">
              <w:t>, Montbéliarde, Normande</w:t>
            </w:r>
          </w:p>
          <w:p w14:paraId="28C94110" w14:textId="77777777" w:rsidR="00942838" w:rsidRPr="00DD0FD9" w:rsidRDefault="00A762AC" w:rsidP="00A762AC">
            <w:pPr>
              <w:rPr>
                <w:rFonts w:ascii="Times New Roman" w:eastAsia="Times New Roman" w:hAnsi="Times New Roman" w:cs="Times New Roman"/>
                <w:lang w:val="en-US" w:eastAsia="sv-SE"/>
              </w:rPr>
            </w:pPr>
            <w:r w:rsidRPr="00891522">
              <w:rPr>
                <w:lang w:val="en-US"/>
              </w:rPr>
              <w:t>Each breed evaluated separately</w:t>
            </w:r>
          </w:p>
        </w:tc>
      </w:tr>
      <w:tr w:rsidR="00813CB3" w:rsidRPr="00942838" w14:paraId="7C313434" w14:textId="77777777" w:rsidTr="00813CB3">
        <w:tc>
          <w:tcPr>
            <w:tcW w:w="1095" w:type="pct"/>
            <w:hideMark/>
          </w:tcPr>
          <w:p w14:paraId="49928C4D"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Trait definition(s) and unit(s) of measurement</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Attach an appendix if needed </w:t>
            </w:r>
          </w:p>
        </w:tc>
        <w:tc>
          <w:tcPr>
            <w:tcW w:w="3905" w:type="pct"/>
            <w:hideMark/>
          </w:tcPr>
          <w:p w14:paraId="311AA848" w14:textId="77777777" w:rsidR="00813CB3" w:rsidRPr="00A406C2" w:rsidRDefault="00813CB3" w:rsidP="00813CB3">
            <w:pPr>
              <w:tabs>
                <w:tab w:val="left" w:pos="360"/>
              </w:tabs>
              <w:rPr>
                <w:b/>
                <w:lang w:val="en-US"/>
              </w:rPr>
            </w:pPr>
            <w:r w:rsidRPr="00A406C2">
              <w:rPr>
                <w:b/>
                <w:lang w:val="en-US"/>
              </w:rPr>
              <w:t xml:space="preserve">HOL: </w:t>
            </w:r>
          </w:p>
          <w:p w14:paraId="66B6A686" w14:textId="77777777" w:rsidR="00813CB3" w:rsidRPr="00D729AC" w:rsidRDefault="00813CB3" w:rsidP="00813CB3">
            <w:pPr>
              <w:numPr>
                <w:ilvl w:val="0"/>
                <w:numId w:val="10"/>
              </w:numPr>
              <w:autoSpaceDE w:val="0"/>
              <w:autoSpaceDN w:val="0"/>
              <w:rPr>
                <w:lang w:val="en-US"/>
              </w:rPr>
            </w:pPr>
            <w:r w:rsidRPr="00D729AC">
              <w:rPr>
                <w:lang w:val="en-US"/>
              </w:rPr>
              <w:t>Capacity and Rump: Height at Sacrum (HS); Chest Width (CW); Rump Angle (RA); Rump Width (RW); Body Depth (BD)</w:t>
            </w:r>
          </w:p>
          <w:p w14:paraId="081F50C1" w14:textId="77777777" w:rsidR="00813CB3" w:rsidRPr="00D729AC" w:rsidRDefault="00813CB3" w:rsidP="00813CB3">
            <w:pPr>
              <w:numPr>
                <w:ilvl w:val="0"/>
                <w:numId w:val="10"/>
              </w:numPr>
              <w:autoSpaceDE w:val="0"/>
              <w:autoSpaceDN w:val="0"/>
              <w:rPr>
                <w:lang w:val="en-US"/>
              </w:rPr>
            </w:pPr>
            <w:r w:rsidRPr="00D729AC">
              <w:rPr>
                <w:lang w:val="en-US"/>
              </w:rPr>
              <w:t xml:space="preserve">Angularity (ANG); </w:t>
            </w:r>
          </w:p>
          <w:p w14:paraId="3469A912" w14:textId="77777777" w:rsidR="00813CB3" w:rsidRPr="00D729AC" w:rsidRDefault="00813CB3" w:rsidP="00813CB3">
            <w:pPr>
              <w:numPr>
                <w:ilvl w:val="0"/>
                <w:numId w:val="10"/>
              </w:numPr>
              <w:autoSpaceDE w:val="0"/>
              <w:autoSpaceDN w:val="0"/>
              <w:rPr>
                <w:lang w:val="en-US"/>
              </w:rPr>
            </w:pPr>
            <w:r w:rsidRPr="00D729AC">
              <w:rPr>
                <w:lang w:val="en-US"/>
              </w:rPr>
              <w:t xml:space="preserve">Locomotion: Rear Legs Set (RLS); Locomotion (LOCO); Foot angle (FA), Rear Leg Rear View (RLR); </w:t>
            </w:r>
          </w:p>
          <w:p w14:paraId="5487F0C7" w14:textId="77777777" w:rsidR="00813CB3" w:rsidRPr="00D729AC" w:rsidRDefault="00813CB3" w:rsidP="00813CB3">
            <w:pPr>
              <w:numPr>
                <w:ilvl w:val="0"/>
                <w:numId w:val="10"/>
              </w:numPr>
              <w:autoSpaceDE w:val="0"/>
              <w:autoSpaceDN w:val="0"/>
              <w:rPr>
                <w:lang w:val="en-US"/>
              </w:rPr>
            </w:pPr>
            <w:r w:rsidRPr="00D729AC">
              <w:rPr>
                <w:lang w:val="en-US"/>
              </w:rPr>
              <w:t>Udder: Fore Udder (FU); Rear Udder Height (RUH); Udder Support (US): Udder Cleft; Udder Depth (UD): Udder-Hocks distance; Teat Placement (TPF): Front teat Placement; Teat Length (TL); Udder Balance (UB); Teat Direction Rear (TDR)</w:t>
            </w:r>
          </w:p>
          <w:p w14:paraId="7E2CE8F1" w14:textId="77777777" w:rsidR="00813CB3" w:rsidRPr="00D729AC" w:rsidRDefault="00813CB3" w:rsidP="00813CB3">
            <w:pPr>
              <w:numPr>
                <w:ilvl w:val="0"/>
                <w:numId w:val="10"/>
              </w:numPr>
              <w:autoSpaceDE w:val="0"/>
              <w:autoSpaceDN w:val="0"/>
              <w:rPr>
                <w:lang w:val="en-US"/>
              </w:rPr>
            </w:pPr>
            <w:r w:rsidRPr="00D729AC">
              <w:rPr>
                <w:lang w:val="en-US"/>
              </w:rPr>
              <w:t>Workability traits: milking speed (MD), temperament (TE)</w:t>
            </w:r>
          </w:p>
          <w:p w14:paraId="1BF15FE9" w14:textId="77777777" w:rsidR="00813CB3" w:rsidRPr="00ED3041" w:rsidRDefault="00813CB3" w:rsidP="00813CB3">
            <w:pPr>
              <w:numPr>
                <w:ilvl w:val="0"/>
                <w:numId w:val="10"/>
              </w:numPr>
              <w:autoSpaceDE w:val="0"/>
              <w:autoSpaceDN w:val="0"/>
              <w:rPr>
                <w:lang w:val="en-US"/>
              </w:rPr>
            </w:pPr>
            <w:r w:rsidRPr="00ED3041">
              <w:rPr>
                <w:lang w:val="en-US"/>
              </w:rPr>
              <w:t>Body Condition Score</w:t>
            </w:r>
          </w:p>
          <w:p w14:paraId="15F938F3" w14:textId="77777777" w:rsidR="00813CB3" w:rsidRPr="00A406C2" w:rsidRDefault="00813CB3" w:rsidP="00813CB3">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noProof w:val="0"/>
                <w:sz w:val="20"/>
                <w:szCs w:val="20"/>
              </w:rPr>
            </w:pPr>
            <w:r w:rsidRPr="00A406C2">
              <w:rPr>
                <w:b/>
                <w:noProof w:val="0"/>
                <w:sz w:val="20"/>
                <w:szCs w:val="20"/>
              </w:rPr>
              <w:t xml:space="preserve">Montbéliarde: </w:t>
            </w:r>
          </w:p>
          <w:p w14:paraId="150A8AD0" w14:textId="77777777" w:rsidR="00813CB3" w:rsidRPr="00D729AC" w:rsidRDefault="00813CB3" w:rsidP="00813CB3">
            <w:pPr>
              <w:pStyle w:val="normal0"/>
              <w:numPr>
                <w:ilvl w:val="0"/>
                <w:numId w:val="11"/>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val="0"/>
                <w:sz w:val="20"/>
                <w:szCs w:val="20"/>
                <w:lang w:val="en-GB"/>
              </w:rPr>
            </w:pPr>
            <w:r w:rsidRPr="00D729AC">
              <w:rPr>
                <w:noProof w:val="0"/>
                <w:sz w:val="20"/>
                <w:szCs w:val="20"/>
                <w:lang w:val="en-GB"/>
              </w:rPr>
              <w:t xml:space="preserve">Capacity and rump:  Height at sacrum (HS):chest width (CW); Chest depth (CD); Body depth (BD); Rump length (RL); Width at hips (WH); Width at </w:t>
            </w:r>
            <w:proofErr w:type="spellStart"/>
            <w:r w:rsidRPr="00D729AC">
              <w:rPr>
                <w:noProof w:val="0"/>
                <w:sz w:val="20"/>
                <w:szCs w:val="20"/>
                <w:lang w:val="en-GB"/>
              </w:rPr>
              <w:t>thurl</w:t>
            </w:r>
            <w:proofErr w:type="spellEnd"/>
            <w:r w:rsidRPr="00D729AC">
              <w:rPr>
                <w:noProof w:val="0"/>
                <w:sz w:val="20"/>
                <w:szCs w:val="20"/>
                <w:lang w:val="en-GB"/>
              </w:rPr>
              <w:t xml:space="preserve"> (TW); Rump angle (RA); rump overall score (RO)</w:t>
            </w:r>
          </w:p>
          <w:p w14:paraId="507BFA72" w14:textId="77777777" w:rsidR="00813CB3" w:rsidRPr="00D729AC" w:rsidRDefault="00813CB3" w:rsidP="00813CB3">
            <w:pPr>
              <w:pStyle w:val="normal0"/>
              <w:numPr>
                <w:ilvl w:val="0"/>
                <w:numId w:val="12"/>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val="0"/>
                <w:sz w:val="20"/>
                <w:szCs w:val="20"/>
                <w:lang w:val="en-GB"/>
              </w:rPr>
            </w:pPr>
            <w:r w:rsidRPr="00D729AC">
              <w:rPr>
                <w:noProof w:val="0"/>
                <w:sz w:val="20"/>
                <w:szCs w:val="20"/>
                <w:lang w:val="en-GB"/>
              </w:rPr>
              <w:t>Locomotion: Rear legs set (RLS); foot angle (FA) Feet and legs overall score (F&amp;L);</w:t>
            </w:r>
          </w:p>
          <w:p w14:paraId="3F43B9B0" w14:textId="77777777" w:rsidR="00813CB3" w:rsidRPr="00D729AC" w:rsidRDefault="00813CB3" w:rsidP="00813CB3">
            <w:pPr>
              <w:pStyle w:val="normal0"/>
              <w:numPr>
                <w:ilvl w:val="0"/>
                <w:numId w:val="11"/>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val="0"/>
                <w:sz w:val="20"/>
                <w:szCs w:val="20"/>
                <w:lang w:val="en-GB"/>
              </w:rPr>
            </w:pPr>
            <w:r w:rsidRPr="00D729AC">
              <w:rPr>
                <w:noProof w:val="0"/>
                <w:sz w:val="20"/>
                <w:szCs w:val="20"/>
              </w:rPr>
              <w:t xml:space="preserve">Udder: </w:t>
            </w:r>
            <w:r w:rsidRPr="00D729AC">
              <w:rPr>
                <w:noProof w:val="0"/>
                <w:sz w:val="20"/>
                <w:szCs w:val="20"/>
                <w:lang w:val="en-GB"/>
              </w:rPr>
              <w:t xml:space="preserve">fore udder attachment (FU);Rear udder height (RUH); Rear udder width (RUW); Udder Depth (UD); Udder balance (UB); Udder Support (US) Teat placement front (TPF),  Teat direction rear (TD); Teat length (TL); teat form (TF) udder overall score (Udder), Teat overall score (Teats); </w:t>
            </w:r>
          </w:p>
          <w:p w14:paraId="24375959" w14:textId="77777777" w:rsidR="00813CB3" w:rsidRPr="00ED3041" w:rsidRDefault="00813CB3" w:rsidP="00813CB3">
            <w:pPr>
              <w:pStyle w:val="normal0"/>
              <w:numPr>
                <w:ilvl w:val="0"/>
                <w:numId w:val="11"/>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val="0"/>
                <w:color w:val="auto"/>
                <w:sz w:val="20"/>
                <w:szCs w:val="20"/>
                <w:lang w:val="en-GB"/>
              </w:rPr>
            </w:pPr>
            <w:r w:rsidRPr="00D729AC">
              <w:rPr>
                <w:noProof w:val="0"/>
                <w:sz w:val="20"/>
                <w:szCs w:val="20"/>
                <w:lang w:val="en-GB"/>
              </w:rPr>
              <w:t>Others: withers (WI), thighs (TH)</w:t>
            </w:r>
          </w:p>
          <w:p w14:paraId="7A6B7EF3" w14:textId="77777777" w:rsidR="00813CB3" w:rsidRPr="00ED3041" w:rsidRDefault="00813CB3" w:rsidP="00813CB3">
            <w:pPr>
              <w:pStyle w:val="normal0"/>
              <w:numPr>
                <w:ilvl w:val="0"/>
                <w:numId w:val="11"/>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val="0"/>
                <w:color w:val="auto"/>
                <w:sz w:val="20"/>
                <w:szCs w:val="20"/>
                <w:lang w:val="en-GB"/>
              </w:rPr>
            </w:pPr>
            <w:r w:rsidRPr="00ED3041">
              <w:rPr>
                <w:noProof w:val="0"/>
                <w:color w:val="auto"/>
                <w:sz w:val="20"/>
                <w:szCs w:val="20"/>
                <w:lang w:val="en-GB"/>
              </w:rPr>
              <w:t>Workability traits: Milking speed (MD), Temperament (TE)</w:t>
            </w:r>
          </w:p>
          <w:p w14:paraId="08F22565" w14:textId="77777777" w:rsidR="00813CB3" w:rsidRPr="00A406C2" w:rsidRDefault="00813CB3" w:rsidP="00813CB3">
            <w:pPr>
              <w:pStyle w:val="normal0"/>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noProof w:val="0"/>
                <w:sz w:val="20"/>
                <w:szCs w:val="20"/>
                <w:lang w:val="fr-FR"/>
              </w:rPr>
            </w:pPr>
            <w:r w:rsidRPr="00A406C2">
              <w:rPr>
                <w:b/>
                <w:noProof w:val="0"/>
                <w:sz w:val="20"/>
                <w:szCs w:val="20"/>
                <w:lang w:val="fr-FR"/>
              </w:rPr>
              <w:t xml:space="preserve">Normande : </w:t>
            </w:r>
          </w:p>
          <w:p w14:paraId="4C914392" w14:textId="77777777" w:rsidR="00813CB3" w:rsidRPr="00D729AC" w:rsidRDefault="00813CB3" w:rsidP="00813CB3">
            <w:pPr>
              <w:pStyle w:val="normal0"/>
              <w:numPr>
                <w:ilvl w:val="0"/>
                <w:numId w:val="13"/>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val="0"/>
                <w:sz w:val="20"/>
                <w:szCs w:val="20"/>
                <w:lang w:val="en-GB"/>
              </w:rPr>
            </w:pPr>
            <w:r w:rsidRPr="00D729AC">
              <w:rPr>
                <w:noProof w:val="0"/>
                <w:sz w:val="20"/>
                <w:szCs w:val="20"/>
                <w:lang w:val="en-GB"/>
              </w:rPr>
              <w:t>Udder: Fore Udder Attachment (FU), Rear Udder (RU), Udder Depth (UD), Udder Balance (UB), Udder Support (US), Teat Placement Front (TPF), Teat Direction (TD)</w:t>
            </w:r>
            <w:r>
              <w:rPr>
                <w:noProof w:val="0"/>
                <w:sz w:val="20"/>
                <w:szCs w:val="20"/>
                <w:lang w:val="en-GB"/>
              </w:rPr>
              <w:t xml:space="preserve">, </w:t>
            </w:r>
            <w:r w:rsidRPr="00ED3041">
              <w:rPr>
                <w:noProof w:val="0"/>
                <w:color w:val="auto"/>
                <w:sz w:val="20"/>
                <w:szCs w:val="20"/>
                <w:lang w:val="en-GB"/>
              </w:rPr>
              <w:t>Udder Overall Score (Udder)</w:t>
            </w:r>
          </w:p>
          <w:p w14:paraId="7BDA147F" w14:textId="77777777" w:rsidR="00813CB3" w:rsidRPr="00D729AC" w:rsidRDefault="00813CB3" w:rsidP="00813CB3">
            <w:pPr>
              <w:pStyle w:val="normal0"/>
              <w:numPr>
                <w:ilvl w:val="0"/>
                <w:numId w:val="13"/>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val="0"/>
                <w:sz w:val="20"/>
                <w:szCs w:val="20"/>
                <w:lang w:val="en-GB"/>
              </w:rPr>
            </w:pPr>
            <w:r w:rsidRPr="00D729AC">
              <w:rPr>
                <w:noProof w:val="0"/>
                <w:sz w:val="20"/>
                <w:szCs w:val="20"/>
                <w:lang w:val="en-GB"/>
              </w:rPr>
              <w:t>Capacity and Rump: Height at Sacrum (HS), Chest Width (CW), Chest Depth (CD), Rump Length (RL), Width at Hips (WH), Rump Angle (RA)</w:t>
            </w:r>
            <w:r>
              <w:rPr>
                <w:noProof w:val="0"/>
                <w:sz w:val="20"/>
                <w:szCs w:val="20"/>
                <w:lang w:val="en-GB"/>
              </w:rPr>
              <w:t>,</w:t>
            </w:r>
            <w:r w:rsidRPr="007C1B2B">
              <w:rPr>
                <w:noProof w:val="0"/>
                <w:color w:val="auto"/>
                <w:sz w:val="20"/>
                <w:szCs w:val="20"/>
                <w:lang w:val="en-GB"/>
              </w:rPr>
              <w:t xml:space="preserve"> </w:t>
            </w:r>
            <w:r w:rsidRPr="00243734">
              <w:rPr>
                <w:noProof w:val="0"/>
                <w:sz w:val="20"/>
                <w:szCs w:val="20"/>
                <w:lang w:val="en-GB"/>
              </w:rPr>
              <w:t>Size</w:t>
            </w:r>
          </w:p>
          <w:p w14:paraId="785151E1" w14:textId="77777777" w:rsidR="00813CB3" w:rsidRPr="00D729AC" w:rsidRDefault="00813CB3" w:rsidP="00813CB3">
            <w:pPr>
              <w:pStyle w:val="normal0"/>
              <w:numPr>
                <w:ilvl w:val="0"/>
                <w:numId w:val="13"/>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val="0"/>
                <w:sz w:val="20"/>
                <w:szCs w:val="20"/>
                <w:lang w:val="en-GB"/>
              </w:rPr>
            </w:pPr>
            <w:r w:rsidRPr="00D729AC">
              <w:rPr>
                <w:noProof w:val="0"/>
                <w:sz w:val="20"/>
                <w:szCs w:val="20"/>
                <w:lang w:val="en-GB"/>
              </w:rPr>
              <w:t>Locomotion: Rear legs (RLS); Feet and Legs (F&amp;L)</w:t>
            </w:r>
          </w:p>
          <w:p w14:paraId="62BF2DC8" w14:textId="77777777" w:rsidR="00813CB3" w:rsidRPr="00A406C2" w:rsidRDefault="00813CB3" w:rsidP="00813CB3">
            <w:pPr>
              <w:pStyle w:val="normal0"/>
              <w:numPr>
                <w:ilvl w:val="0"/>
                <w:numId w:val="13"/>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val="0"/>
                <w:color w:val="auto"/>
                <w:sz w:val="20"/>
                <w:szCs w:val="20"/>
              </w:rPr>
            </w:pPr>
            <w:r w:rsidRPr="00D729AC">
              <w:rPr>
                <w:noProof w:val="0"/>
                <w:sz w:val="20"/>
                <w:szCs w:val="20"/>
                <w:lang w:val="en-GB"/>
              </w:rPr>
              <w:lastRenderedPageBreak/>
              <w:t>Muscularity (MU)</w:t>
            </w:r>
            <w:r>
              <w:rPr>
                <w:noProof w:val="0"/>
                <w:sz w:val="20"/>
                <w:szCs w:val="20"/>
                <w:lang w:val="en-GB"/>
              </w:rPr>
              <w:t xml:space="preserve">: </w:t>
            </w:r>
            <w:r w:rsidRPr="007C1B2B">
              <w:rPr>
                <w:noProof w:val="0"/>
                <w:color w:val="auto"/>
                <w:sz w:val="20"/>
                <w:szCs w:val="20"/>
                <w:lang w:val="en-GB"/>
              </w:rPr>
              <w:t>Loin; Thighs (TH); Withers( WI); Rump</w:t>
            </w:r>
          </w:p>
          <w:p w14:paraId="161D46C8" w14:textId="5B4C3409" w:rsidR="00813CB3" w:rsidRPr="00942838" w:rsidRDefault="00813CB3" w:rsidP="00813CB3">
            <w:pPr>
              <w:rPr>
                <w:rFonts w:ascii="Times New Roman" w:eastAsia="Times New Roman" w:hAnsi="Times New Roman" w:cs="Times New Roman"/>
                <w:lang w:val="en-US" w:eastAsia="sv-SE"/>
              </w:rPr>
            </w:pPr>
            <w:r w:rsidRPr="00ED3041">
              <w:rPr>
                <w:sz w:val="20"/>
                <w:szCs w:val="20"/>
                <w:lang w:val="en-GB"/>
              </w:rPr>
              <w:t>Workability traits: Milking speed (MD)</w:t>
            </w:r>
          </w:p>
        </w:tc>
      </w:tr>
      <w:tr w:rsidR="00813CB3" w:rsidRPr="00942838" w14:paraId="3D561492" w14:textId="77777777" w:rsidTr="00813CB3">
        <w:tc>
          <w:tcPr>
            <w:tcW w:w="1095" w:type="pct"/>
            <w:hideMark/>
          </w:tcPr>
          <w:p w14:paraId="06ACAF06"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Source of genotypes</w:t>
            </w:r>
            <w:r w:rsidRPr="00942838">
              <w:rPr>
                <w:rFonts w:ascii="Times New Roman" w:eastAsia="Times New Roman" w:hAnsi="Times New Roman" w:cs="Times New Roman"/>
                <w:lang w:val="en-US" w:eastAsia="sv-SE"/>
              </w:rPr>
              <w:t xml:space="preserve"> (chips used) </w:t>
            </w:r>
          </w:p>
        </w:tc>
        <w:tc>
          <w:tcPr>
            <w:tcW w:w="3905" w:type="pct"/>
            <w:hideMark/>
          </w:tcPr>
          <w:p w14:paraId="29C31DAC" w14:textId="34B2DB8E" w:rsidR="00813CB3" w:rsidRPr="00942838" w:rsidRDefault="00813CB3" w:rsidP="00813CB3">
            <w:pPr>
              <w:rPr>
                <w:rFonts w:ascii="Times New Roman" w:eastAsia="Times New Roman" w:hAnsi="Times New Roman" w:cs="Times New Roman"/>
                <w:lang w:val="en-US" w:eastAsia="sv-SE"/>
              </w:rPr>
            </w:pPr>
            <w:r w:rsidRPr="00891522">
              <w:rPr>
                <w:lang w:val="en-US"/>
              </w:rPr>
              <w:t>Genotypes from Illumina5</w:t>
            </w:r>
            <w:r>
              <w:rPr>
                <w:lang w:val="en-US"/>
              </w:rPr>
              <w:t>0K SNP Chip or from lower density imputed on the 50K chip</w:t>
            </w:r>
          </w:p>
        </w:tc>
      </w:tr>
      <w:tr w:rsidR="00813CB3" w:rsidRPr="00942838" w14:paraId="3AFB1A0E" w14:textId="77777777" w:rsidTr="00813CB3">
        <w:tc>
          <w:tcPr>
            <w:tcW w:w="1095" w:type="pct"/>
            <w:hideMark/>
          </w:tcPr>
          <w:p w14:paraId="2A5FEAA6"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Imputation method for missing genotypes</w:t>
            </w:r>
            <w:r w:rsidRPr="00942838">
              <w:rPr>
                <w:rFonts w:ascii="Times New Roman" w:eastAsia="Times New Roman" w:hAnsi="Times New Roman" w:cs="Times New Roman"/>
                <w:lang w:val="en-US" w:eastAsia="sv-SE"/>
              </w:rPr>
              <w:t xml:space="preserve"> </w:t>
            </w:r>
          </w:p>
        </w:tc>
        <w:tc>
          <w:tcPr>
            <w:tcW w:w="3905" w:type="pct"/>
            <w:hideMark/>
          </w:tcPr>
          <w:p w14:paraId="3CB9B254" w14:textId="77777777" w:rsidR="00813CB3" w:rsidRPr="00942838" w:rsidRDefault="00813CB3" w:rsidP="00813CB3">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Based on </w:t>
            </w:r>
            <w:proofErr w:type="spellStart"/>
            <w:r>
              <w:rPr>
                <w:rFonts w:ascii="Times New Roman" w:eastAsia="Times New Roman" w:hAnsi="Times New Roman" w:cs="Times New Roman"/>
                <w:lang w:val="en-US" w:eastAsia="sv-SE"/>
              </w:rPr>
              <w:t>Fimpute</w:t>
            </w:r>
            <w:proofErr w:type="spellEnd"/>
            <w:r>
              <w:rPr>
                <w:rFonts w:ascii="Times New Roman" w:eastAsia="Times New Roman" w:hAnsi="Times New Roman" w:cs="Times New Roman"/>
                <w:lang w:val="en-US" w:eastAsia="sv-SE"/>
              </w:rPr>
              <w:t xml:space="preserve"> (</w:t>
            </w:r>
            <w:proofErr w:type="spellStart"/>
            <w:r>
              <w:rPr>
                <w:rFonts w:ascii="Times New Roman" w:eastAsia="Times New Roman" w:hAnsi="Times New Roman" w:cs="Times New Roman"/>
                <w:lang w:val="en-US" w:eastAsia="sv-SE"/>
              </w:rPr>
              <w:t>Szargolzei</w:t>
            </w:r>
            <w:proofErr w:type="spellEnd"/>
            <w:r>
              <w:rPr>
                <w:rFonts w:ascii="Times New Roman" w:eastAsia="Times New Roman" w:hAnsi="Times New Roman" w:cs="Times New Roman"/>
                <w:lang w:val="en-US" w:eastAsia="sv-SE"/>
              </w:rPr>
              <w:t xml:space="preserve"> et al, 2014)</w:t>
            </w:r>
          </w:p>
        </w:tc>
      </w:tr>
      <w:tr w:rsidR="00813CB3" w:rsidRPr="00942838" w14:paraId="197B9692" w14:textId="77777777" w:rsidTr="00813CB3">
        <w:tc>
          <w:tcPr>
            <w:tcW w:w="1095" w:type="pct"/>
            <w:hideMark/>
          </w:tcPr>
          <w:p w14:paraId="4E23673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Propagation of genomic information to non-genotyped descendants and ancestors</w:t>
            </w:r>
            <w:r w:rsidRPr="00942838">
              <w:rPr>
                <w:rFonts w:ascii="Times New Roman" w:eastAsia="Times New Roman" w:hAnsi="Times New Roman" w:cs="Times New Roman"/>
                <w:lang w:val="en-US" w:eastAsia="sv-SE"/>
              </w:rPr>
              <w:t xml:space="preserve"> </w:t>
            </w:r>
          </w:p>
        </w:tc>
        <w:tc>
          <w:tcPr>
            <w:tcW w:w="3905" w:type="pct"/>
            <w:hideMark/>
          </w:tcPr>
          <w:p w14:paraId="3F3CC5C3" w14:textId="77777777" w:rsidR="00813CB3" w:rsidRPr="00942838" w:rsidRDefault="00813CB3" w:rsidP="00813CB3">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None</w:t>
            </w:r>
          </w:p>
        </w:tc>
      </w:tr>
      <w:tr w:rsidR="00813CB3" w:rsidRPr="00942838" w14:paraId="2C1A0936" w14:textId="77777777" w:rsidTr="00813CB3">
        <w:tc>
          <w:tcPr>
            <w:tcW w:w="1095" w:type="pct"/>
            <w:hideMark/>
          </w:tcPr>
          <w:p w14:paraId="354C1284"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Animals included in reference population</w:t>
            </w:r>
            <w:r w:rsidRPr="00942838">
              <w:rPr>
                <w:rFonts w:ascii="Times New Roman" w:eastAsia="Times New Roman" w:hAnsi="Times New Roman" w:cs="Times New Roman"/>
                <w:lang w:val="en-US" w:eastAsia="sv-SE"/>
              </w:rPr>
              <w:t xml:space="preserve"> (males, females, countries included, total number) </w:t>
            </w:r>
          </w:p>
        </w:tc>
        <w:tc>
          <w:tcPr>
            <w:tcW w:w="3905" w:type="pct"/>
            <w:hideMark/>
          </w:tcPr>
          <w:p w14:paraId="426F23A0" w14:textId="77777777" w:rsidR="00813CB3" w:rsidRPr="00902047" w:rsidRDefault="00813CB3" w:rsidP="00813CB3">
            <w:pPr>
              <w:autoSpaceDE w:val="0"/>
              <w:autoSpaceDN w:val="0"/>
              <w:adjustRightInd w:val="0"/>
              <w:rPr>
                <w:rFonts w:ascii="Calibri" w:hAnsi="Calibri" w:cs="Calibri"/>
                <w:lang w:val="en-US"/>
              </w:rPr>
            </w:pPr>
            <w:r w:rsidRPr="00902047">
              <w:rPr>
                <w:rFonts w:ascii="Calibri" w:hAnsi="Calibri" w:cs="Calibri"/>
                <w:lang w:val="en-US"/>
              </w:rPr>
              <w:t xml:space="preserve">Holstein : 30700 bulls from the </w:t>
            </w:r>
            <w:proofErr w:type="spellStart"/>
            <w:r w:rsidRPr="00902047">
              <w:rPr>
                <w:rFonts w:ascii="Calibri" w:hAnsi="Calibri" w:cs="Calibri"/>
                <w:lang w:val="en-US"/>
              </w:rPr>
              <w:t>Eurogenomics</w:t>
            </w:r>
            <w:proofErr w:type="spellEnd"/>
            <w:r w:rsidRPr="00902047">
              <w:rPr>
                <w:rFonts w:ascii="Calibri" w:hAnsi="Calibri" w:cs="Calibri"/>
                <w:lang w:val="en-US"/>
              </w:rPr>
              <w:t xml:space="preserve"> consortium</w:t>
            </w:r>
          </w:p>
          <w:p w14:paraId="3CB68A84" w14:textId="0963986D" w:rsidR="00813CB3" w:rsidRPr="0094595A" w:rsidRDefault="0094595A" w:rsidP="00813CB3">
            <w:pPr>
              <w:autoSpaceDE w:val="0"/>
              <w:autoSpaceDN w:val="0"/>
              <w:adjustRightInd w:val="0"/>
              <w:rPr>
                <w:rFonts w:ascii="Calibri" w:hAnsi="Calibri" w:cs="Calibri"/>
                <w:lang w:val="fr-FR"/>
              </w:rPr>
            </w:pPr>
            <w:r w:rsidRPr="0094595A">
              <w:rPr>
                <w:rFonts w:ascii="Calibri" w:hAnsi="Calibri" w:cs="Calibri"/>
                <w:lang w:val="fr-FR"/>
              </w:rPr>
              <w:t>Montbéliarde : 2650 bulls,</w:t>
            </w:r>
            <w:r w:rsidR="00813CB3" w:rsidRPr="0094595A">
              <w:rPr>
                <w:rFonts w:ascii="Calibri" w:hAnsi="Calibri" w:cs="Calibri"/>
                <w:lang w:val="fr-FR"/>
              </w:rPr>
              <w:t xml:space="preserve"> 22000 </w:t>
            </w:r>
            <w:proofErr w:type="spellStart"/>
            <w:r w:rsidR="00813CB3" w:rsidRPr="0094595A">
              <w:rPr>
                <w:rFonts w:ascii="Calibri" w:hAnsi="Calibri" w:cs="Calibri"/>
                <w:lang w:val="fr-FR"/>
              </w:rPr>
              <w:t>cows</w:t>
            </w:r>
            <w:proofErr w:type="spellEnd"/>
            <w:r w:rsidR="00813CB3" w:rsidRPr="0094595A">
              <w:rPr>
                <w:rFonts w:ascii="Calibri" w:hAnsi="Calibri" w:cs="Calibri"/>
                <w:lang w:val="fr-FR"/>
              </w:rPr>
              <w:t xml:space="preserve"> (France)</w:t>
            </w:r>
          </w:p>
          <w:p w14:paraId="31628877" w14:textId="47B5B447" w:rsidR="00813CB3" w:rsidRPr="00630101" w:rsidRDefault="00813CB3" w:rsidP="00813CB3">
            <w:pPr>
              <w:autoSpaceDE w:val="0"/>
              <w:autoSpaceDN w:val="0"/>
              <w:adjustRightInd w:val="0"/>
              <w:rPr>
                <w:rFonts w:ascii="Calibri" w:hAnsi="Calibri" w:cs="Calibri"/>
                <w:lang w:val="fr-FR"/>
              </w:rPr>
            </w:pPr>
            <w:r w:rsidRPr="0094595A">
              <w:rPr>
                <w:rFonts w:ascii="Calibri" w:hAnsi="Calibri" w:cs="Calibri"/>
                <w:lang w:val="fr-FR"/>
              </w:rPr>
              <w:t>Normande : 2330 bulls</w:t>
            </w:r>
            <w:r w:rsidR="0094595A" w:rsidRPr="0094595A">
              <w:rPr>
                <w:rFonts w:ascii="Calibri" w:hAnsi="Calibri" w:cs="Calibri"/>
                <w:lang w:val="fr-FR"/>
              </w:rPr>
              <w:t>,</w:t>
            </w:r>
            <w:r w:rsidRPr="0094595A">
              <w:rPr>
                <w:rFonts w:ascii="Calibri" w:hAnsi="Calibri" w:cs="Calibri"/>
                <w:lang w:val="fr-FR"/>
              </w:rPr>
              <w:t xml:space="preserve"> 11800 </w:t>
            </w:r>
            <w:proofErr w:type="spellStart"/>
            <w:r w:rsidRPr="0094595A">
              <w:rPr>
                <w:rFonts w:ascii="Calibri" w:hAnsi="Calibri" w:cs="Calibri"/>
                <w:lang w:val="fr-FR"/>
              </w:rPr>
              <w:t>cows</w:t>
            </w:r>
            <w:proofErr w:type="spellEnd"/>
            <w:r w:rsidRPr="0094595A">
              <w:rPr>
                <w:rFonts w:ascii="Calibri" w:hAnsi="Calibri" w:cs="Calibri"/>
                <w:lang w:val="fr-FR"/>
              </w:rPr>
              <w:t xml:space="preserve"> (France)</w:t>
            </w:r>
          </w:p>
        </w:tc>
      </w:tr>
      <w:tr w:rsidR="00813CB3" w:rsidRPr="00942838" w14:paraId="71EDBF20" w14:textId="77777777" w:rsidTr="00813CB3">
        <w:tc>
          <w:tcPr>
            <w:tcW w:w="1095" w:type="pct"/>
            <w:hideMark/>
          </w:tcPr>
          <w:p w14:paraId="7DE01722"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phenotypic data</w:t>
            </w:r>
            <w:r w:rsidRPr="00942838">
              <w:rPr>
                <w:rFonts w:ascii="Times New Roman" w:eastAsia="Times New Roman" w:hAnsi="Times New Roman" w:cs="Times New Roman"/>
                <w:lang w:val="en-US" w:eastAsia="sv-SE"/>
              </w:rPr>
              <w:t xml:space="preserve"> (DYD, de</w:t>
            </w:r>
            <w:r>
              <w:rPr>
                <w:rFonts w:ascii="Times New Roman" w:eastAsia="Times New Roman" w:hAnsi="Times New Roman" w:cs="Times New Roman"/>
                <w:lang w:val="en-US" w:eastAsia="sv-SE"/>
              </w:rPr>
              <w:t>-</w:t>
            </w:r>
            <w:r w:rsidRPr="00942838">
              <w:rPr>
                <w:rFonts w:ascii="Times New Roman" w:eastAsia="Times New Roman" w:hAnsi="Times New Roman" w:cs="Times New Roman"/>
                <w:lang w:val="en-US" w:eastAsia="sv-SE"/>
              </w:rPr>
              <w:t xml:space="preserve">regressed proofs, national EBVs and/or MACE evaluations) </w:t>
            </w:r>
          </w:p>
        </w:tc>
        <w:tc>
          <w:tcPr>
            <w:tcW w:w="3905" w:type="pct"/>
            <w:hideMark/>
          </w:tcPr>
          <w:p w14:paraId="18E46E3D" w14:textId="78E2BBB6" w:rsidR="00813CB3" w:rsidRDefault="00813CB3" w:rsidP="00813CB3">
            <w:pPr>
              <w:rPr>
                <w:lang w:val="en-US"/>
              </w:rPr>
            </w:pPr>
            <w:r>
              <w:rPr>
                <w:lang w:val="en-US"/>
              </w:rPr>
              <w:t xml:space="preserve">For bulls: </w:t>
            </w:r>
            <w:r w:rsidRPr="00891522">
              <w:rPr>
                <w:lang w:val="en-US"/>
              </w:rPr>
              <w:t>DYD</w:t>
            </w:r>
            <w:r>
              <w:rPr>
                <w:lang w:val="en-US"/>
              </w:rPr>
              <w:t xml:space="preserve"> </w:t>
            </w:r>
            <w:r w:rsidRPr="00891522">
              <w:rPr>
                <w:lang w:val="en-US"/>
              </w:rPr>
              <w:t>of sires obtained from conventio</w:t>
            </w:r>
            <w:r>
              <w:rPr>
                <w:lang w:val="en-US"/>
              </w:rPr>
              <w:t>nal national genetic evaluation</w:t>
            </w:r>
            <w:r w:rsidRPr="00891522">
              <w:rPr>
                <w:lang w:val="en-US"/>
              </w:rPr>
              <w:t xml:space="preserve"> (or de-regressed </w:t>
            </w:r>
            <w:r>
              <w:rPr>
                <w:lang w:val="en-US"/>
              </w:rPr>
              <w:t xml:space="preserve">MACE </w:t>
            </w:r>
            <w:r w:rsidRPr="00891522">
              <w:rPr>
                <w:lang w:val="en-US"/>
              </w:rPr>
              <w:t xml:space="preserve">EBVs if DYD </w:t>
            </w:r>
            <w:r>
              <w:rPr>
                <w:lang w:val="en-US"/>
              </w:rPr>
              <w:t xml:space="preserve">are </w:t>
            </w:r>
            <w:r w:rsidRPr="00891522">
              <w:rPr>
                <w:lang w:val="en-US"/>
              </w:rPr>
              <w:t>not available</w:t>
            </w:r>
            <w:r>
              <w:rPr>
                <w:lang w:val="en-US"/>
              </w:rPr>
              <w:t>(e.g., for foreign bulls)</w:t>
            </w:r>
            <w:r w:rsidRPr="00891522">
              <w:rPr>
                <w:lang w:val="en-US"/>
              </w:rPr>
              <w:t>) of sires obtained from conventio</w:t>
            </w:r>
            <w:r>
              <w:rPr>
                <w:lang w:val="en-US"/>
              </w:rPr>
              <w:t>nal national genetic evaluation</w:t>
            </w:r>
          </w:p>
          <w:p w14:paraId="0E65C971" w14:textId="1B3F54AF" w:rsidR="00813CB3" w:rsidRPr="00942838" w:rsidRDefault="00813CB3" w:rsidP="00813CB3">
            <w:pPr>
              <w:rPr>
                <w:rFonts w:ascii="Times New Roman" w:eastAsia="Times New Roman" w:hAnsi="Times New Roman" w:cs="Times New Roman"/>
                <w:lang w:val="en-US" w:eastAsia="sv-SE"/>
              </w:rPr>
            </w:pPr>
            <w:r>
              <w:rPr>
                <w:lang w:val="en-US"/>
              </w:rPr>
              <w:t>For cows: YD</w:t>
            </w:r>
          </w:p>
        </w:tc>
      </w:tr>
      <w:tr w:rsidR="00813CB3" w:rsidRPr="00942838" w14:paraId="31E188FB" w14:textId="77777777" w:rsidTr="00813CB3">
        <w:tc>
          <w:tcPr>
            <w:tcW w:w="1095" w:type="pct"/>
            <w:hideMark/>
          </w:tcPr>
          <w:p w14:paraId="48CA2EFA"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Other criteria (data edits) for inclusion of records</w:t>
            </w:r>
            <w:r w:rsidRPr="00942838">
              <w:rPr>
                <w:rFonts w:ascii="Times New Roman" w:eastAsia="Times New Roman" w:hAnsi="Times New Roman" w:cs="Times New Roman"/>
                <w:lang w:val="en-US" w:eastAsia="sv-SE"/>
              </w:rPr>
              <w:t xml:space="preserve"> </w:t>
            </w:r>
          </w:p>
        </w:tc>
        <w:tc>
          <w:tcPr>
            <w:tcW w:w="3905" w:type="pct"/>
            <w:hideMark/>
          </w:tcPr>
          <w:p w14:paraId="0F790C82" w14:textId="77777777" w:rsidR="00813CB3" w:rsidRPr="00942838" w:rsidRDefault="00813CB3" w:rsidP="00813CB3">
            <w:pPr>
              <w:rPr>
                <w:rFonts w:ascii="Times New Roman" w:eastAsia="Times New Roman" w:hAnsi="Times New Roman" w:cs="Times New Roman"/>
                <w:lang w:val="en-US" w:eastAsia="sv-SE"/>
              </w:rPr>
            </w:pPr>
            <w:r w:rsidRPr="00891522">
              <w:rPr>
                <w:lang w:val="en-US"/>
              </w:rPr>
              <w:t>Based on genotypes, individuals that are incompatible with their declared parents are removed</w:t>
            </w:r>
          </w:p>
        </w:tc>
      </w:tr>
      <w:tr w:rsidR="00813CB3" w:rsidRPr="00942838" w14:paraId="7A725C73" w14:textId="77777777" w:rsidTr="00813CB3">
        <w:tc>
          <w:tcPr>
            <w:tcW w:w="1095" w:type="pct"/>
            <w:hideMark/>
          </w:tcPr>
          <w:p w14:paraId="3450D00A"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extension of records</w:t>
            </w:r>
            <w:r w:rsidRPr="00942838">
              <w:rPr>
                <w:rFonts w:ascii="Times New Roman" w:eastAsia="Times New Roman" w:hAnsi="Times New Roman" w:cs="Times New Roman"/>
                <w:lang w:val="en-US" w:eastAsia="sv-SE"/>
              </w:rPr>
              <w:t xml:space="preserve"> (if applicable) </w:t>
            </w:r>
          </w:p>
        </w:tc>
        <w:tc>
          <w:tcPr>
            <w:tcW w:w="3905" w:type="pct"/>
            <w:hideMark/>
          </w:tcPr>
          <w:p w14:paraId="1B49D4B8" w14:textId="77777777" w:rsidR="00813CB3" w:rsidRPr="00942838" w:rsidRDefault="00813CB3" w:rsidP="00813CB3">
            <w:pPr>
              <w:rPr>
                <w:rFonts w:ascii="Times New Roman" w:eastAsia="Times New Roman" w:hAnsi="Times New Roman" w:cs="Times New Roman"/>
                <w:lang w:val="en-US" w:eastAsia="sv-SE"/>
              </w:rPr>
            </w:pPr>
          </w:p>
        </w:tc>
      </w:tr>
      <w:tr w:rsidR="00813CB3" w:rsidRPr="00942838" w14:paraId="3C329046" w14:textId="77777777" w:rsidTr="00813CB3">
        <w:tc>
          <w:tcPr>
            <w:tcW w:w="1095" w:type="pct"/>
            <w:hideMark/>
          </w:tcPr>
          <w:p w14:paraId="10519E2B" w14:textId="77777777" w:rsidR="00813CB3" w:rsidRPr="00942838" w:rsidRDefault="00813CB3" w:rsidP="00813CB3">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Sire categories</w:t>
            </w:r>
            <w:r w:rsidRPr="00942838">
              <w:rPr>
                <w:rFonts w:ascii="Times New Roman" w:eastAsia="Times New Roman" w:hAnsi="Times New Roman" w:cs="Times New Roman"/>
                <w:lang w:eastAsia="sv-SE"/>
              </w:rPr>
              <w:t xml:space="preserve"> </w:t>
            </w:r>
          </w:p>
        </w:tc>
        <w:tc>
          <w:tcPr>
            <w:tcW w:w="3905" w:type="pct"/>
            <w:hideMark/>
          </w:tcPr>
          <w:p w14:paraId="262D8ACD" w14:textId="77777777" w:rsidR="00813CB3" w:rsidRPr="00942838" w:rsidRDefault="00813CB3" w:rsidP="00813CB3">
            <w:pPr>
              <w:rPr>
                <w:rFonts w:ascii="Times New Roman" w:eastAsia="Times New Roman" w:hAnsi="Times New Roman" w:cs="Times New Roman"/>
                <w:lang w:eastAsia="sv-SE"/>
              </w:rPr>
            </w:pPr>
            <w:r w:rsidRPr="00891522">
              <w:t xml:space="preserve">All </w:t>
            </w:r>
            <w:r w:rsidRPr="00891522">
              <w:rPr>
                <w:lang w:val="en-US"/>
              </w:rPr>
              <w:t xml:space="preserve">genotyped </w:t>
            </w:r>
            <w:r w:rsidRPr="00891522">
              <w:t>bulls</w:t>
            </w:r>
            <w:r>
              <w:t xml:space="preserve"> + genotyped females in Montbéliarde and Normande</w:t>
            </w:r>
          </w:p>
        </w:tc>
      </w:tr>
      <w:tr w:rsidR="00813CB3" w:rsidRPr="00942838" w14:paraId="6A110B99" w14:textId="77777777" w:rsidTr="00813CB3">
        <w:tc>
          <w:tcPr>
            <w:tcW w:w="1095" w:type="pct"/>
            <w:hideMark/>
          </w:tcPr>
          <w:p w14:paraId="7AD590F0"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Genomic model</w:t>
            </w:r>
            <w:r w:rsidRPr="00942838">
              <w:rPr>
                <w:rFonts w:ascii="Times New Roman" w:eastAsia="Times New Roman" w:hAnsi="Times New Roman" w:cs="Times New Roman"/>
                <w:lang w:val="en-US" w:eastAsia="sv-SE"/>
              </w:rPr>
              <w:t xml:space="preserve"> (linear, Bayesian, polygenic effect, genotypes or haplotypes) </w:t>
            </w:r>
          </w:p>
        </w:tc>
        <w:tc>
          <w:tcPr>
            <w:tcW w:w="3905" w:type="pct"/>
            <w:hideMark/>
          </w:tcPr>
          <w:p w14:paraId="6E263A46" w14:textId="2B5C5869" w:rsidR="00813CB3" w:rsidRPr="001F262F" w:rsidRDefault="00813CB3" w:rsidP="00813CB3">
            <w:pPr>
              <w:spacing w:before="60"/>
              <w:rPr>
                <w:lang w:val="en-US"/>
              </w:rPr>
            </w:pPr>
            <w:r w:rsidRPr="00891522">
              <w:rPr>
                <w:rFonts w:ascii="Times" w:hAnsi="Times" w:cs="Times"/>
                <w:lang w:val="en-US"/>
              </w:rPr>
              <w:t>Single trait Mixed Linear model including a regression on identical-by-state</w:t>
            </w:r>
            <w:r w:rsidRPr="00891522">
              <w:t>haplotypes</w:t>
            </w:r>
            <w:r>
              <w:t xml:space="preserve"> associated with up to 3000 QTL</w:t>
            </w:r>
            <w:r>
              <w:rPr>
                <w:rFonts w:ascii="Times" w:hAnsi="Times" w:cs="Times"/>
              </w:rPr>
              <w:t xml:space="preserve"> and a residual</w:t>
            </w:r>
            <w:r w:rsidRPr="00891522">
              <w:rPr>
                <w:rFonts w:ascii="Times" w:hAnsi="Times" w:cs="Times"/>
                <w:lang w:val="en-US"/>
              </w:rPr>
              <w:t xml:space="preserve"> polygenic effect</w:t>
            </w:r>
          </w:p>
          <w:p w14:paraId="4B968FA2" w14:textId="7F9030DF" w:rsidR="00813CB3" w:rsidRPr="00942838" w:rsidRDefault="00813CB3" w:rsidP="00813CB3">
            <w:pPr>
              <w:rPr>
                <w:rFonts w:ascii="Times New Roman" w:eastAsia="Times New Roman" w:hAnsi="Times New Roman" w:cs="Times New Roman"/>
                <w:lang w:val="en-US" w:eastAsia="sv-SE"/>
              </w:rPr>
            </w:pPr>
            <w:r w:rsidRPr="001F262F">
              <w:rPr>
                <w:lang w:val="en-US"/>
              </w:rPr>
              <w:t xml:space="preserve"> </w:t>
            </w:r>
            <w:r>
              <w:rPr>
                <w:lang w:val="en-US"/>
              </w:rPr>
              <w:t xml:space="preserve">Applied after a </w:t>
            </w:r>
            <w:r w:rsidRPr="001F262F">
              <w:rPr>
                <w:lang w:val="en-US"/>
              </w:rPr>
              <w:t xml:space="preserve">QTL detection </w:t>
            </w:r>
            <w:r>
              <w:rPr>
                <w:lang w:val="en-US"/>
              </w:rPr>
              <w:t xml:space="preserve">with Bayes </w:t>
            </w:r>
            <w:proofErr w:type="spellStart"/>
            <w:r>
              <w:rPr>
                <w:lang w:val="en-US"/>
              </w:rPr>
              <w:t>Cpi</w:t>
            </w:r>
            <w:proofErr w:type="spellEnd"/>
          </w:p>
        </w:tc>
      </w:tr>
      <w:tr w:rsidR="00813CB3" w:rsidRPr="00942838" w14:paraId="62961028" w14:textId="77777777" w:rsidTr="00813CB3">
        <w:tc>
          <w:tcPr>
            <w:tcW w:w="1095" w:type="pct"/>
            <w:hideMark/>
          </w:tcPr>
          <w:p w14:paraId="2AF6CCF1"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direct genomic value (DGV) with traditional EBV</w:t>
            </w:r>
            <w:r w:rsidRPr="00942838">
              <w:rPr>
                <w:rFonts w:ascii="Times New Roman" w:eastAsia="Times New Roman" w:hAnsi="Times New Roman" w:cs="Times New Roman"/>
                <w:lang w:val="en-US" w:eastAsia="sv-SE"/>
              </w:rPr>
              <w:t xml:space="preserve"> </w:t>
            </w:r>
          </w:p>
        </w:tc>
        <w:tc>
          <w:tcPr>
            <w:tcW w:w="3905" w:type="pct"/>
            <w:hideMark/>
          </w:tcPr>
          <w:p w14:paraId="592103A7" w14:textId="19224080" w:rsidR="00813CB3" w:rsidRPr="00942838" w:rsidRDefault="00813CB3" w:rsidP="00813CB3">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For Holstein and Brown Swiss genotyped females only</w:t>
            </w:r>
          </w:p>
        </w:tc>
      </w:tr>
      <w:tr w:rsidR="00813CB3" w:rsidRPr="00942838" w14:paraId="41B1B3D9" w14:textId="77777777" w:rsidTr="00813CB3">
        <w:tc>
          <w:tcPr>
            <w:tcW w:w="1095" w:type="pct"/>
            <w:hideMark/>
          </w:tcPr>
          <w:p w14:paraId="31F6BD5A"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Environmental effects in the genetic evaluation model</w:t>
            </w:r>
            <w:r w:rsidRPr="00942838">
              <w:rPr>
                <w:rFonts w:ascii="Times New Roman" w:eastAsia="Times New Roman" w:hAnsi="Times New Roman" w:cs="Times New Roman"/>
                <w:lang w:val="en-US" w:eastAsia="sv-SE"/>
              </w:rPr>
              <w:t xml:space="preserve"> </w:t>
            </w:r>
          </w:p>
        </w:tc>
        <w:tc>
          <w:tcPr>
            <w:tcW w:w="3905" w:type="pct"/>
            <w:hideMark/>
          </w:tcPr>
          <w:p w14:paraId="61CAF1F8" w14:textId="77777777" w:rsidR="00813CB3" w:rsidRPr="00942838" w:rsidRDefault="00813CB3" w:rsidP="00813CB3">
            <w:pPr>
              <w:rPr>
                <w:rFonts w:ascii="Times New Roman" w:eastAsia="Times New Roman" w:hAnsi="Times New Roman" w:cs="Times New Roman"/>
                <w:lang w:val="en-US" w:eastAsia="sv-SE"/>
              </w:rPr>
            </w:pPr>
            <w:r>
              <w:rPr>
                <w:lang w:val="en-US"/>
              </w:rPr>
              <w:t>Overall mean (possibly different when both DYD and de-regressed EBV are used)</w:t>
            </w:r>
          </w:p>
        </w:tc>
      </w:tr>
      <w:tr w:rsidR="00813CB3" w:rsidRPr="00942838" w14:paraId="01C6C6C3" w14:textId="77777777" w:rsidTr="00813CB3">
        <w:tc>
          <w:tcPr>
            <w:tcW w:w="1095" w:type="pct"/>
            <w:hideMark/>
          </w:tcPr>
          <w:p w14:paraId="594D763B"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 xml:space="preserve">Adjustment for heterogeneous </w:t>
            </w:r>
            <w:r w:rsidRPr="00942838">
              <w:rPr>
                <w:rFonts w:ascii="Times New Roman" w:eastAsia="Times New Roman" w:hAnsi="Times New Roman" w:cs="Times New Roman"/>
                <w:bCs/>
                <w:lang w:val="en-US" w:eastAsia="sv-SE"/>
              </w:rPr>
              <w:lastRenderedPageBreak/>
              <w:t>variance in evaluation model</w:t>
            </w:r>
            <w:r w:rsidRPr="00942838">
              <w:rPr>
                <w:rFonts w:ascii="Times New Roman" w:eastAsia="Times New Roman" w:hAnsi="Times New Roman" w:cs="Times New Roman"/>
                <w:lang w:val="en-US" w:eastAsia="sv-SE"/>
              </w:rPr>
              <w:t xml:space="preserve"> </w:t>
            </w:r>
          </w:p>
        </w:tc>
        <w:tc>
          <w:tcPr>
            <w:tcW w:w="3905" w:type="pct"/>
            <w:hideMark/>
          </w:tcPr>
          <w:p w14:paraId="0BBD8C94" w14:textId="77777777" w:rsidR="00813CB3" w:rsidRPr="00942838" w:rsidRDefault="00813CB3" w:rsidP="00813CB3">
            <w:pPr>
              <w:rPr>
                <w:rFonts w:ascii="Times New Roman" w:eastAsia="Times New Roman" w:hAnsi="Times New Roman" w:cs="Times New Roman"/>
                <w:lang w:val="en-US" w:eastAsia="sv-SE"/>
              </w:rPr>
            </w:pPr>
            <w:r w:rsidRPr="00891522">
              <w:rPr>
                <w:lang w:val="en-US"/>
              </w:rPr>
              <w:lastRenderedPageBreak/>
              <w:t>Using corresponding EDC</w:t>
            </w:r>
          </w:p>
        </w:tc>
      </w:tr>
      <w:tr w:rsidR="00813CB3" w:rsidRPr="00942838" w14:paraId="27DD3E91" w14:textId="77777777" w:rsidTr="00813CB3">
        <w:tc>
          <w:tcPr>
            <w:tcW w:w="1095" w:type="pct"/>
            <w:hideMark/>
          </w:tcPr>
          <w:p w14:paraId="41C3D4C5" w14:textId="77777777" w:rsidR="00813CB3" w:rsidRPr="00942838" w:rsidRDefault="00813CB3" w:rsidP="00813CB3">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Computation of genomic reliability</w:t>
            </w:r>
            <w:r w:rsidRPr="00942838">
              <w:rPr>
                <w:rFonts w:ascii="Times New Roman" w:eastAsia="Times New Roman" w:hAnsi="Times New Roman" w:cs="Times New Roman"/>
                <w:lang w:eastAsia="sv-SE"/>
              </w:rPr>
              <w:t xml:space="preserve"> </w:t>
            </w:r>
          </w:p>
        </w:tc>
        <w:tc>
          <w:tcPr>
            <w:tcW w:w="3905" w:type="pct"/>
            <w:hideMark/>
          </w:tcPr>
          <w:p w14:paraId="10C670AC" w14:textId="77777777" w:rsidR="00813CB3" w:rsidRPr="00942838" w:rsidRDefault="00813CB3" w:rsidP="00813CB3">
            <w:pPr>
              <w:rPr>
                <w:rFonts w:ascii="Times New Roman" w:eastAsia="Times New Roman" w:hAnsi="Times New Roman" w:cs="Times New Roman"/>
                <w:lang w:eastAsia="sv-SE"/>
              </w:rPr>
            </w:pPr>
            <w:r>
              <w:rPr>
                <w:rFonts w:ascii="Times New Roman" w:eastAsia="Times New Roman" w:hAnsi="Times New Roman" w:cs="Times New Roman"/>
                <w:lang w:eastAsia="sv-SE"/>
              </w:rPr>
              <w:t>Approximated from the BLUP coefficient matrix</w:t>
            </w:r>
          </w:p>
        </w:tc>
      </w:tr>
      <w:tr w:rsidR="00813CB3" w:rsidRPr="00942838" w14:paraId="0F03652B" w14:textId="77777777" w:rsidTr="00813CB3">
        <w:tc>
          <w:tcPr>
            <w:tcW w:w="1095" w:type="pct"/>
            <w:hideMark/>
          </w:tcPr>
          <w:p w14:paraId="6DB61079"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foreign/Interbull information in evaluation</w:t>
            </w:r>
            <w:r w:rsidRPr="00942838">
              <w:rPr>
                <w:rFonts w:ascii="Times New Roman" w:eastAsia="Times New Roman" w:hAnsi="Times New Roman" w:cs="Times New Roman"/>
                <w:lang w:val="en-US" w:eastAsia="sv-SE"/>
              </w:rPr>
              <w:t xml:space="preserve"> </w:t>
            </w:r>
          </w:p>
        </w:tc>
        <w:tc>
          <w:tcPr>
            <w:tcW w:w="3905" w:type="pct"/>
            <w:hideMark/>
          </w:tcPr>
          <w:p w14:paraId="7CA2DCF4" w14:textId="3BB0B743" w:rsidR="00813CB3" w:rsidRPr="00942838" w:rsidRDefault="00813CB3" w:rsidP="00813CB3">
            <w:pPr>
              <w:rPr>
                <w:rFonts w:ascii="Times New Roman" w:eastAsia="Times New Roman" w:hAnsi="Times New Roman" w:cs="Times New Roman"/>
                <w:lang w:val="en-US" w:eastAsia="sv-SE"/>
              </w:rPr>
            </w:pPr>
            <w:r>
              <w:rPr>
                <w:lang w:val="en-US"/>
              </w:rPr>
              <w:t>Use of d</w:t>
            </w:r>
            <w:r w:rsidRPr="00891522">
              <w:rPr>
                <w:lang w:val="en-US"/>
              </w:rPr>
              <w:t>e</w:t>
            </w:r>
            <w:r>
              <w:rPr>
                <w:lang w:val="en-US"/>
              </w:rPr>
              <w:t>-</w:t>
            </w:r>
            <w:r w:rsidRPr="00891522">
              <w:rPr>
                <w:lang w:val="en-US"/>
              </w:rPr>
              <w:t>regressed Interbull EBV</w:t>
            </w:r>
            <w:r>
              <w:rPr>
                <w:lang w:val="en-US"/>
              </w:rPr>
              <w:t>I when</w:t>
            </w:r>
            <w:r w:rsidRPr="00891522">
              <w:rPr>
                <w:lang w:val="en-US"/>
              </w:rPr>
              <w:t xml:space="preserve"> DYD</w:t>
            </w:r>
            <w:r>
              <w:rPr>
                <w:lang w:val="en-US"/>
              </w:rPr>
              <w:t xml:space="preserve"> are</w:t>
            </w:r>
            <w:r w:rsidRPr="00891522">
              <w:rPr>
                <w:lang w:val="en-US"/>
              </w:rPr>
              <w:t xml:space="preserve"> not available</w:t>
            </w:r>
          </w:p>
        </w:tc>
      </w:tr>
      <w:tr w:rsidR="00813CB3" w:rsidRPr="00942838" w14:paraId="3DE13554" w14:textId="77777777" w:rsidTr="00813CB3">
        <w:tc>
          <w:tcPr>
            <w:tcW w:w="1095" w:type="pct"/>
            <w:hideMark/>
          </w:tcPr>
          <w:p w14:paraId="104CE516"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Genetic parameters in the evaluation</w:t>
            </w:r>
            <w:r w:rsidRPr="00942838">
              <w:rPr>
                <w:rFonts w:ascii="Times New Roman" w:eastAsia="Times New Roman" w:hAnsi="Times New Roman" w:cs="Times New Roman"/>
                <w:lang w:val="en-US" w:eastAsia="sv-SE"/>
              </w:rPr>
              <w:t xml:space="preserve"> </w:t>
            </w:r>
          </w:p>
        </w:tc>
        <w:tc>
          <w:tcPr>
            <w:tcW w:w="3905" w:type="pct"/>
            <w:hideMark/>
          </w:tcPr>
          <w:p w14:paraId="70FD34E3" w14:textId="77777777" w:rsidR="00813CB3" w:rsidRPr="00891522" w:rsidRDefault="00813CB3" w:rsidP="00813CB3">
            <w:pPr>
              <w:spacing w:before="60"/>
              <w:rPr>
                <w:lang w:val="en-US"/>
              </w:rPr>
            </w:pPr>
            <w:r w:rsidRPr="00891522">
              <w:rPr>
                <w:lang w:val="en-US"/>
              </w:rPr>
              <w:t xml:space="preserve">Same global heritability as the conventional genetic evaluation </w:t>
            </w:r>
          </w:p>
          <w:p w14:paraId="2E7E49C7" w14:textId="6B38018C" w:rsidR="00813CB3" w:rsidRPr="00A07B3E" w:rsidRDefault="00813CB3" w:rsidP="00813CB3">
            <w:pPr>
              <w:spacing w:before="60"/>
              <w:rPr>
                <w:lang w:val="en-US"/>
              </w:rPr>
            </w:pPr>
            <w:r>
              <w:rPr>
                <w:lang w:val="en-US"/>
              </w:rPr>
              <w:t>On average 20% of genetic variance attributed to the residual</w:t>
            </w:r>
            <w:r w:rsidRPr="00891522">
              <w:rPr>
                <w:lang w:val="en-US"/>
              </w:rPr>
              <w:t xml:space="preserve"> polygenic effect</w:t>
            </w:r>
            <w:r>
              <w:rPr>
                <w:lang w:val="en-US"/>
              </w:rPr>
              <w:t>, the rest equally distributed across haplotypes</w:t>
            </w:r>
          </w:p>
        </w:tc>
      </w:tr>
      <w:tr w:rsidR="00813CB3" w:rsidRPr="00942838" w14:paraId="49AD4C9E" w14:textId="77777777" w:rsidTr="00813CB3">
        <w:tc>
          <w:tcPr>
            <w:tcW w:w="1095" w:type="pct"/>
            <w:hideMark/>
          </w:tcPr>
          <w:p w14:paraId="03C7AFC9"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Expression of genetic evaluations</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If standardized (e.g. RBV), give standardization formula in the appendix </w:t>
            </w:r>
          </w:p>
        </w:tc>
        <w:tc>
          <w:tcPr>
            <w:tcW w:w="3905" w:type="pct"/>
            <w:hideMark/>
          </w:tcPr>
          <w:p w14:paraId="1EAF6473" w14:textId="77777777" w:rsidR="00813CB3" w:rsidRPr="00942838" w:rsidRDefault="00813CB3" w:rsidP="00813CB3">
            <w:pPr>
              <w:rPr>
                <w:rFonts w:ascii="Times New Roman" w:eastAsia="Times New Roman" w:hAnsi="Times New Roman" w:cs="Times New Roman"/>
                <w:lang w:val="en-US" w:eastAsia="sv-SE"/>
              </w:rPr>
            </w:pPr>
            <w:r w:rsidRPr="00891522">
              <w:rPr>
                <w:lang w:val="en-US"/>
              </w:rPr>
              <w:t>See GE Form conventional genetic evaluation</w:t>
            </w:r>
          </w:p>
        </w:tc>
      </w:tr>
      <w:tr w:rsidR="00813CB3" w:rsidRPr="00942838" w14:paraId="39F07D37" w14:textId="77777777" w:rsidTr="00813CB3">
        <w:tc>
          <w:tcPr>
            <w:tcW w:w="1095" w:type="pct"/>
            <w:hideMark/>
          </w:tcPr>
          <w:p w14:paraId="1861361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Definition of genetic reference base</w:t>
            </w:r>
            <w:r w:rsidRPr="00942838">
              <w:rPr>
                <w:rFonts w:ascii="Times New Roman" w:eastAsia="Times New Roman" w:hAnsi="Times New Roman" w:cs="Times New Roman"/>
                <w:lang w:val="en-US" w:eastAsia="sv-SE"/>
              </w:rPr>
              <w:t xml:space="preserve"> </w:t>
            </w:r>
          </w:p>
        </w:tc>
        <w:tc>
          <w:tcPr>
            <w:tcW w:w="3905" w:type="pct"/>
            <w:hideMark/>
          </w:tcPr>
          <w:p w14:paraId="64660C3D" w14:textId="77777777" w:rsidR="00813CB3" w:rsidRPr="00942838" w:rsidRDefault="00813CB3" w:rsidP="00813CB3">
            <w:pPr>
              <w:rPr>
                <w:rFonts w:ascii="Times New Roman" w:eastAsia="Times New Roman" w:hAnsi="Times New Roman" w:cs="Times New Roman"/>
                <w:lang w:val="en-US" w:eastAsia="sv-SE"/>
              </w:rPr>
            </w:pPr>
            <w:r w:rsidRPr="00891522">
              <w:rPr>
                <w:lang w:val="en-US"/>
              </w:rPr>
              <w:t>See GE Form conventional genetic evaluation</w:t>
            </w:r>
          </w:p>
        </w:tc>
      </w:tr>
      <w:tr w:rsidR="00813CB3" w:rsidRPr="00942838" w14:paraId="7A4A3CE6" w14:textId="77777777" w:rsidTr="00813CB3">
        <w:tc>
          <w:tcPr>
            <w:tcW w:w="1095" w:type="pct"/>
            <w:hideMark/>
          </w:tcPr>
          <w:p w14:paraId="5A0086E3" w14:textId="77777777" w:rsidR="00813CB3" w:rsidRPr="00942838" w:rsidRDefault="00813CB3" w:rsidP="00813CB3">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Labeling of genomic evaluations</w:t>
            </w:r>
            <w:r w:rsidRPr="00942838">
              <w:rPr>
                <w:rFonts w:ascii="Times New Roman" w:eastAsia="Times New Roman" w:hAnsi="Times New Roman" w:cs="Times New Roman"/>
                <w:lang w:eastAsia="sv-SE"/>
              </w:rPr>
              <w:t xml:space="preserve"> </w:t>
            </w:r>
          </w:p>
        </w:tc>
        <w:tc>
          <w:tcPr>
            <w:tcW w:w="3905" w:type="pct"/>
            <w:hideMark/>
          </w:tcPr>
          <w:p w14:paraId="61439F7C" w14:textId="1D6EF104" w:rsidR="00813CB3" w:rsidRPr="00942838" w:rsidRDefault="00813CB3" w:rsidP="00813CB3">
            <w:pPr>
              <w:rPr>
                <w:rFonts w:ascii="Times New Roman" w:eastAsia="Times New Roman" w:hAnsi="Times New Roman" w:cs="Times New Roman"/>
                <w:lang w:eastAsia="sv-SE"/>
              </w:rPr>
            </w:pPr>
          </w:p>
        </w:tc>
      </w:tr>
      <w:tr w:rsidR="00813CB3" w:rsidRPr="00942838" w14:paraId="037B7329" w14:textId="77777777" w:rsidTr="00813CB3">
        <w:tc>
          <w:tcPr>
            <w:tcW w:w="1095" w:type="pct"/>
            <w:hideMark/>
          </w:tcPr>
          <w:p w14:paraId="0D0F3021"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official publication of evaluations</w:t>
            </w:r>
            <w:r w:rsidRPr="00942838">
              <w:rPr>
                <w:rFonts w:ascii="Times New Roman" w:eastAsia="Times New Roman" w:hAnsi="Times New Roman" w:cs="Times New Roman"/>
                <w:lang w:val="en-US" w:eastAsia="sv-SE"/>
              </w:rPr>
              <w:t xml:space="preserve"> </w:t>
            </w:r>
          </w:p>
        </w:tc>
        <w:tc>
          <w:tcPr>
            <w:tcW w:w="3905" w:type="pct"/>
            <w:hideMark/>
          </w:tcPr>
          <w:p w14:paraId="1AB61D1C" w14:textId="76A5BC57" w:rsidR="00813CB3" w:rsidRPr="00891522" w:rsidRDefault="00813CB3" w:rsidP="00813CB3">
            <w:pPr>
              <w:spacing w:before="60"/>
              <w:rPr>
                <w:lang w:val="en-US"/>
              </w:rPr>
            </w:pPr>
            <w:r w:rsidRPr="00891522">
              <w:rPr>
                <w:lang w:val="en-US"/>
              </w:rPr>
              <w:t>Only for bulls officially declared as “bulls known from GEBV information”</w:t>
            </w:r>
            <w:r>
              <w:rPr>
                <w:lang w:val="en-US"/>
              </w:rPr>
              <w:t xml:space="preserve">, </w:t>
            </w:r>
            <w:r w:rsidRPr="00891522">
              <w:rPr>
                <w:lang w:val="en-US"/>
              </w:rPr>
              <w:t>genotype reliable</w:t>
            </w:r>
            <w:r>
              <w:rPr>
                <w:lang w:val="en-US"/>
              </w:rPr>
              <w:t>, the parents and four grand-parents are known and</w:t>
            </w:r>
          </w:p>
          <w:p w14:paraId="57877AB6" w14:textId="17B025B6" w:rsidR="00813CB3" w:rsidRPr="00942838" w:rsidRDefault="00813CB3" w:rsidP="00813CB3">
            <w:pPr>
              <w:rPr>
                <w:rFonts w:ascii="Times New Roman" w:eastAsia="Times New Roman" w:hAnsi="Times New Roman" w:cs="Times New Roman"/>
                <w:lang w:val="en-US" w:eastAsia="sv-SE"/>
              </w:rPr>
            </w:pPr>
            <w:r w:rsidRPr="00891522">
              <w:rPr>
                <w:lang w:val="en-US"/>
              </w:rPr>
              <w:t>Reliability of GEBV &gt;=</w:t>
            </w:r>
            <w:r>
              <w:rPr>
                <w:lang w:val="en-US"/>
              </w:rPr>
              <w:t xml:space="preserve"> 0.50</w:t>
            </w:r>
          </w:p>
        </w:tc>
      </w:tr>
      <w:tr w:rsidR="00813CB3" w:rsidRPr="00942838" w14:paraId="7651E0A0" w14:textId="77777777" w:rsidTr="00813CB3">
        <w:tc>
          <w:tcPr>
            <w:tcW w:w="1095" w:type="pct"/>
            <w:hideMark/>
          </w:tcPr>
          <w:p w14:paraId="31FD939C"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Number of evaluations / publications per year</w:t>
            </w:r>
            <w:r w:rsidRPr="00942838">
              <w:rPr>
                <w:rFonts w:ascii="Times New Roman" w:eastAsia="Times New Roman" w:hAnsi="Times New Roman" w:cs="Times New Roman"/>
                <w:lang w:val="en-US" w:eastAsia="sv-SE"/>
              </w:rPr>
              <w:t xml:space="preserve"> </w:t>
            </w:r>
          </w:p>
        </w:tc>
        <w:tc>
          <w:tcPr>
            <w:tcW w:w="3905" w:type="pct"/>
            <w:hideMark/>
          </w:tcPr>
          <w:p w14:paraId="6814857C" w14:textId="5FE438B8" w:rsidR="00813CB3" w:rsidRPr="00942838" w:rsidRDefault="00813CB3" w:rsidP="00813CB3">
            <w:pPr>
              <w:rPr>
                <w:rFonts w:ascii="Times New Roman" w:eastAsia="Times New Roman" w:hAnsi="Times New Roman" w:cs="Times New Roman"/>
                <w:lang w:val="en-US" w:eastAsia="sv-SE"/>
              </w:rPr>
            </w:pPr>
            <w:r>
              <w:rPr>
                <w:lang w:val="en-US"/>
              </w:rPr>
              <w:t>6</w:t>
            </w:r>
            <w:r w:rsidRPr="00891522">
              <w:rPr>
                <w:lang w:val="en-US"/>
              </w:rPr>
              <w:t xml:space="preserve"> genomic evaluations among which 3 are official (</w:t>
            </w:r>
            <w:r>
              <w:rPr>
                <w:lang w:val="en-US"/>
              </w:rPr>
              <w:t>April</w:t>
            </w:r>
            <w:r w:rsidRPr="00891522">
              <w:rPr>
                <w:lang w:val="en-US"/>
              </w:rPr>
              <w:t xml:space="preserve">, </w:t>
            </w:r>
            <w:r>
              <w:rPr>
                <w:lang w:val="en-US"/>
              </w:rPr>
              <w:t>August</w:t>
            </w:r>
            <w:r w:rsidRPr="00891522">
              <w:rPr>
                <w:lang w:val="en-US"/>
              </w:rPr>
              <w:t xml:space="preserve">, </w:t>
            </w:r>
            <w:r>
              <w:rPr>
                <w:lang w:val="en-US"/>
              </w:rPr>
              <w:t>December</w:t>
            </w:r>
            <w:r w:rsidRPr="00891522">
              <w:rPr>
                <w:lang w:val="en-US"/>
              </w:rPr>
              <w:t>)</w:t>
            </w:r>
          </w:p>
        </w:tc>
      </w:tr>
      <w:tr w:rsidR="00813CB3" w:rsidRPr="00942838" w14:paraId="71101B83" w14:textId="77777777" w:rsidTr="00813CB3">
        <w:tc>
          <w:tcPr>
            <w:tcW w:w="1095" w:type="pct"/>
            <w:hideMark/>
          </w:tcPr>
          <w:p w14:paraId="3E23609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Use in total merit index</w:t>
            </w:r>
            <w:r w:rsidRPr="00942838">
              <w:rPr>
                <w:rFonts w:ascii="Times New Roman" w:eastAsia="Times New Roman" w:hAnsi="Times New Roman" w:cs="Times New Roman"/>
                <w:lang w:val="en-US" w:eastAsia="sv-SE"/>
              </w:rPr>
              <w:t xml:space="preserve"> </w:t>
            </w:r>
          </w:p>
        </w:tc>
        <w:tc>
          <w:tcPr>
            <w:tcW w:w="3905" w:type="pct"/>
            <w:hideMark/>
          </w:tcPr>
          <w:p w14:paraId="6E3E8F66" w14:textId="77777777" w:rsidR="00813CB3" w:rsidRPr="00942838" w:rsidRDefault="00813CB3" w:rsidP="00813CB3">
            <w:pPr>
              <w:rPr>
                <w:rFonts w:ascii="Times New Roman" w:eastAsia="Times New Roman" w:hAnsi="Times New Roman" w:cs="Times New Roman"/>
                <w:lang w:val="en-US" w:eastAsia="sv-SE"/>
              </w:rPr>
            </w:pPr>
            <w:r w:rsidRPr="00891522">
              <w:rPr>
                <w:lang w:val="en-GB"/>
              </w:rPr>
              <w:t>INEL and ISU (see GE Form for conventional genetic evaluation)</w:t>
            </w:r>
          </w:p>
        </w:tc>
      </w:tr>
      <w:tr w:rsidR="00813CB3" w:rsidRPr="00942838" w14:paraId="3842C3EF" w14:textId="77777777" w:rsidTr="00813CB3">
        <w:tc>
          <w:tcPr>
            <w:tcW w:w="1095" w:type="pct"/>
            <w:hideMark/>
          </w:tcPr>
          <w:p w14:paraId="11FC5A51"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Anticipated changes in the near future</w:t>
            </w:r>
            <w:r w:rsidRPr="00942838">
              <w:rPr>
                <w:rFonts w:ascii="Times New Roman" w:eastAsia="Times New Roman" w:hAnsi="Times New Roman" w:cs="Times New Roman"/>
                <w:lang w:val="en-US" w:eastAsia="sv-SE"/>
              </w:rPr>
              <w:t xml:space="preserve"> </w:t>
            </w:r>
          </w:p>
        </w:tc>
        <w:tc>
          <w:tcPr>
            <w:tcW w:w="3905" w:type="pct"/>
            <w:hideMark/>
          </w:tcPr>
          <w:p w14:paraId="1921944B" w14:textId="4BD6C8D2" w:rsidR="00813CB3" w:rsidRPr="00942838" w:rsidRDefault="00813CB3" w:rsidP="00813CB3">
            <w:pPr>
              <w:rPr>
                <w:rFonts w:ascii="Times New Roman" w:eastAsia="Times New Roman" w:hAnsi="Times New Roman" w:cs="Times New Roman"/>
                <w:lang w:val="en-US" w:eastAsia="sv-SE"/>
              </w:rPr>
            </w:pPr>
            <w:r>
              <w:rPr>
                <w:lang w:val="en-US"/>
              </w:rPr>
              <w:t>Extension to regional dairy breeds</w:t>
            </w:r>
          </w:p>
        </w:tc>
      </w:tr>
      <w:tr w:rsidR="00813CB3" w:rsidRPr="00942838" w14:paraId="64E3067A" w14:textId="77777777" w:rsidTr="00813CB3">
        <w:tc>
          <w:tcPr>
            <w:tcW w:w="1095" w:type="pct"/>
            <w:hideMark/>
          </w:tcPr>
          <w:p w14:paraId="7463749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reference on methodology applied</w:t>
            </w:r>
            <w:r w:rsidRPr="00942838">
              <w:rPr>
                <w:rFonts w:ascii="Times New Roman" w:eastAsia="Times New Roman" w:hAnsi="Times New Roman" w:cs="Times New Roman"/>
                <w:lang w:val="en-US" w:eastAsia="sv-SE"/>
              </w:rPr>
              <w:t xml:space="preserve"> </w:t>
            </w:r>
          </w:p>
        </w:tc>
        <w:tc>
          <w:tcPr>
            <w:tcW w:w="3905" w:type="pct"/>
            <w:hideMark/>
          </w:tcPr>
          <w:p w14:paraId="267DFEEF" w14:textId="77777777" w:rsidR="00813CB3" w:rsidRDefault="00813CB3" w:rsidP="00813CB3">
            <w:pPr>
              <w:spacing w:before="60"/>
              <w:rPr>
                <w:rFonts w:ascii="Arial" w:hAnsi="Arial" w:cs="Arial"/>
                <w:sz w:val="20"/>
                <w:szCs w:val="20"/>
              </w:rPr>
            </w:pPr>
            <w:r>
              <w:rPr>
                <w:rFonts w:ascii="Arial" w:hAnsi="Arial" w:cs="Arial"/>
                <w:sz w:val="20"/>
                <w:szCs w:val="20"/>
                <w:u w:val="single"/>
              </w:rPr>
              <w:t>Sargolzei, M.</w:t>
            </w:r>
            <w:r>
              <w:rPr>
                <w:rFonts w:ascii="Arial" w:hAnsi="Arial" w:cs="Arial"/>
                <w:sz w:val="20"/>
                <w:szCs w:val="20"/>
              </w:rPr>
              <w:t xml:space="preserve">, J. P. Chesnais, and F. S. Schenkel. 2014. A new approach for efficient genotype imputation using information from relatives. BMC Genomics, </w:t>
            </w:r>
            <w:hyperlink r:id="rId8" w:history="1">
              <w:r>
                <w:rPr>
                  <w:rStyle w:val="Lienhypertexte"/>
                  <w:rFonts w:ascii="Arial" w:hAnsi="Arial" w:cs="Arial"/>
                  <w:sz w:val="20"/>
                  <w:szCs w:val="20"/>
                </w:rPr>
                <w:t>15:478</w:t>
              </w:r>
            </w:hyperlink>
            <w:r>
              <w:rPr>
                <w:rFonts w:ascii="Arial" w:hAnsi="Arial" w:cs="Arial"/>
                <w:sz w:val="20"/>
                <w:szCs w:val="20"/>
              </w:rPr>
              <w:t xml:space="preserve"> </w:t>
            </w:r>
          </w:p>
          <w:p w14:paraId="4AA9E460" w14:textId="77777777" w:rsidR="00813CB3" w:rsidRDefault="00813CB3" w:rsidP="00813CB3">
            <w:pPr>
              <w:spacing w:before="60"/>
              <w:rPr>
                <w:rFonts w:ascii="Arial" w:hAnsi="Arial" w:cs="Arial"/>
                <w:sz w:val="20"/>
                <w:szCs w:val="20"/>
              </w:rPr>
            </w:pPr>
          </w:p>
          <w:p w14:paraId="27AA2E49" w14:textId="2ABA1AE6" w:rsidR="00813CB3" w:rsidRPr="00D04563" w:rsidRDefault="00813CB3" w:rsidP="00813CB3">
            <w:pPr>
              <w:spacing w:before="60"/>
              <w:rPr>
                <w:rFonts w:ascii="Arial" w:eastAsia="Calibri" w:hAnsi="Arial" w:cs="Arial"/>
                <w:sz w:val="20"/>
                <w:szCs w:val="20"/>
                <w:lang w:val="fr-FR"/>
              </w:rPr>
            </w:pPr>
            <w:r w:rsidRPr="00D04563">
              <w:rPr>
                <w:rFonts w:ascii="Arial" w:eastAsia="Calibri" w:hAnsi="Arial" w:cs="Arial"/>
                <w:sz w:val="20"/>
                <w:szCs w:val="20"/>
                <w:lang w:val="fr-FR"/>
              </w:rPr>
              <w:t>Idele, La nouvelle méthode française d’évaluation génomique</w:t>
            </w:r>
            <w:r w:rsidRPr="00D04563" w:rsidDel="00380267">
              <w:rPr>
                <w:rFonts w:ascii="Arial" w:eastAsia="Calibri" w:hAnsi="Arial" w:cs="Arial"/>
                <w:sz w:val="20"/>
                <w:szCs w:val="20"/>
                <w:lang w:val="fr-FR"/>
              </w:rPr>
              <w:t xml:space="preserve"> </w:t>
            </w:r>
            <w:r w:rsidRPr="00D04563">
              <w:rPr>
                <w:rFonts w:ascii="Arial" w:eastAsia="Calibri" w:hAnsi="Arial" w:cs="Arial"/>
                <w:sz w:val="20"/>
                <w:szCs w:val="20"/>
                <w:lang w:val="fr-FR"/>
              </w:rPr>
              <w:t>IBL n° 2015-5, Référence n°0015202010</w:t>
            </w:r>
          </w:p>
          <w:p w14:paraId="602869CC" w14:textId="678471FA" w:rsidR="00813CB3" w:rsidRPr="005A769D" w:rsidRDefault="00813CB3" w:rsidP="00813CB3">
            <w:pPr>
              <w:rPr>
                <w:rFonts w:ascii="Arial" w:hAnsi="Arial" w:cs="Arial"/>
                <w:sz w:val="20"/>
                <w:szCs w:val="20"/>
              </w:rPr>
            </w:pPr>
            <w:r>
              <w:rPr>
                <w:rFonts w:ascii="Arial" w:hAnsi="Arial" w:cs="Arial"/>
                <w:sz w:val="20"/>
                <w:szCs w:val="20"/>
              </w:rPr>
              <w:t>(</w:t>
            </w:r>
            <w:hyperlink r:id="rId9" w:history="1">
              <w:r w:rsidRPr="00832E1A">
                <w:rPr>
                  <w:rStyle w:val="Lienhypertexte"/>
                  <w:rFonts w:ascii="Arial" w:hAnsi="Arial" w:cs="Arial"/>
                  <w:sz w:val="20"/>
                  <w:szCs w:val="20"/>
                </w:rPr>
                <w:t>http://idele.fr/no_cache/recherche/publication/idelesolr/recommends/ibl2015-5-la-nouvelle-methode-francaise-devaluation-genomique.html</w:t>
              </w:r>
            </w:hyperlink>
            <w:r>
              <w:rPr>
                <w:rFonts w:ascii="Arial" w:hAnsi="Arial" w:cs="Arial"/>
                <w:sz w:val="20"/>
                <w:szCs w:val="20"/>
              </w:rPr>
              <w:t>)</w:t>
            </w:r>
          </w:p>
          <w:p w14:paraId="38A5A030" w14:textId="77777777" w:rsidR="00813CB3" w:rsidRPr="00A76065" w:rsidRDefault="00813CB3" w:rsidP="00813CB3">
            <w:pPr>
              <w:pStyle w:val="Standard"/>
              <w:spacing w:line="360" w:lineRule="auto"/>
              <w:rPr>
                <w:rFonts w:ascii="Arial" w:eastAsiaTheme="minorHAnsi" w:hAnsi="Arial" w:cs="Arial"/>
                <w:b/>
                <w:bCs/>
                <w:color w:val="000080"/>
                <w:sz w:val="20"/>
                <w:szCs w:val="20"/>
                <w:lang w:val="fr-FR"/>
              </w:rPr>
            </w:pPr>
          </w:p>
          <w:p w14:paraId="101F16D8" w14:textId="77777777" w:rsidR="00813CB3" w:rsidRPr="00EA24AC" w:rsidRDefault="00813CB3" w:rsidP="00813CB3">
            <w:pPr>
              <w:pStyle w:val="Standard"/>
              <w:spacing w:line="360" w:lineRule="auto"/>
              <w:rPr>
                <w:rFonts w:ascii="Arial" w:hAnsi="Arial" w:cs="Arial"/>
                <w:color w:val="auto"/>
                <w:sz w:val="20"/>
                <w:szCs w:val="20"/>
                <w:lang w:val="en-US"/>
              </w:rPr>
            </w:pPr>
            <w:r w:rsidRPr="00D04563">
              <w:rPr>
                <w:rFonts w:ascii="Arial" w:hAnsi="Arial" w:cs="Arial"/>
                <w:color w:val="auto"/>
                <w:sz w:val="20"/>
                <w:szCs w:val="20"/>
                <w:lang w:val="en-US"/>
              </w:rPr>
              <w:t xml:space="preserve">Croiseau P. et al. , 2015. </w:t>
            </w:r>
            <w:r w:rsidRPr="00EA24AC">
              <w:rPr>
                <w:rFonts w:ascii="Arial" w:hAnsi="Arial" w:cs="Arial"/>
                <w:color w:val="auto"/>
                <w:sz w:val="20"/>
                <w:szCs w:val="20"/>
                <w:lang w:val="en-US"/>
              </w:rPr>
              <w:t>Comparison of different Marker-Assisted BLUP models for a new French genomic evaluation</w:t>
            </w:r>
            <w:r>
              <w:rPr>
                <w:rFonts w:ascii="Arial" w:hAnsi="Arial" w:cs="Arial"/>
                <w:color w:val="auto"/>
                <w:sz w:val="20"/>
                <w:szCs w:val="20"/>
                <w:lang w:val="en-US"/>
              </w:rPr>
              <w:t>. EAAP meeting. Warsaw, Poland.</w:t>
            </w:r>
          </w:p>
          <w:p w14:paraId="13BC27A0" w14:textId="77777777" w:rsidR="00813CB3" w:rsidRPr="00EA24AC" w:rsidRDefault="00813CB3" w:rsidP="00813CB3">
            <w:pPr>
              <w:autoSpaceDE w:val="0"/>
              <w:autoSpaceDN w:val="0"/>
              <w:adjustRightInd w:val="0"/>
              <w:rPr>
                <w:rFonts w:ascii="Arial" w:hAnsi="Arial" w:cs="Arial"/>
                <w:b/>
                <w:bCs/>
                <w:i/>
                <w:iCs/>
                <w:color w:val="0E2B8A"/>
                <w:sz w:val="20"/>
                <w:szCs w:val="20"/>
                <w:lang w:val="en-US"/>
              </w:rPr>
            </w:pPr>
          </w:p>
          <w:p w14:paraId="3D1189DF" w14:textId="35F3B27E" w:rsidR="00813CB3" w:rsidRPr="00EA24AC" w:rsidRDefault="00813CB3" w:rsidP="00813CB3">
            <w:pPr>
              <w:rPr>
                <w:rFonts w:ascii="Times New Roman" w:eastAsia="Times New Roman" w:hAnsi="Times New Roman" w:cs="Times New Roman"/>
                <w:lang w:val="en-US" w:eastAsia="sv-SE"/>
              </w:rPr>
            </w:pPr>
          </w:p>
        </w:tc>
      </w:tr>
      <w:tr w:rsidR="00813CB3" w:rsidRPr="00942838" w14:paraId="1633D9E5" w14:textId="77777777" w:rsidTr="00813CB3">
        <w:tc>
          <w:tcPr>
            <w:tcW w:w="1095" w:type="pct"/>
            <w:hideMark/>
          </w:tcPr>
          <w:p w14:paraId="747C67A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Key organization: name, address, phone, fax, e-mail, web site</w:t>
            </w:r>
            <w:r w:rsidRPr="00942838">
              <w:rPr>
                <w:rFonts w:ascii="Times New Roman" w:eastAsia="Times New Roman" w:hAnsi="Times New Roman" w:cs="Times New Roman"/>
                <w:lang w:val="en-US" w:eastAsia="sv-SE"/>
              </w:rPr>
              <w:t xml:space="preserve"> </w:t>
            </w:r>
          </w:p>
        </w:tc>
        <w:tc>
          <w:tcPr>
            <w:tcW w:w="3905" w:type="pct"/>
            <w:hideMark/>
          </w:tcPr>
          <w:p w14:paraId="63A29DF5" w14:textId="77777777" w:rsidR="00813CB3" w:rsidRPr="00891522" w:rsidRDefault="00813CB3" w:rsidP="00813CB3">
            <w:r w:rsidRPr="00891522">
              <w:t xml:space="preserve">Computing: </w:t>
            </w:r>
          </w:p>
          <w:p w14:paraId="731C82CD" w14:textId="77777777" w:rsidR="00E0111C" w:rsidRDefault="00E0111C" w:rsidP="00E0111C">
            <w:r>
              <w:t>GenEval</w:t>
            </w:r>
            <w:r w:rsidRPr="00891522">
              <w:br/>
            </w:r>
            <w:r>
              <w:t>Evaluation génétique des animaux d’élevage</w:t>
            </w:r>
          </w:p>
          <w:p w14:paraId="276AA0AB" w14:textId="77777777" w:rsidR="001621E3" w:rsidRDefault="00E0111C" w:rsidP="001621E3">
            <w:r>
              <w:t>3 rue du Petit Robinson</w:t>
            </w:r>
            <w:r w:rsidRPr="00891522">
              <w:br/>
              <w:t>F78</w:t>
            </w:r>
            <w:r>
              <w:t>350</w:t>
            </w:r>
            <w:r w:rsidRPr="00891522">
              <w:t xml:space="preserve"> Jouy</w:t>
            </w:r>
            <w:r>
              <w:t>-</w:t>
            </w:r>
            <w:r w:rsidRPr="00891522">
              <w:t>en</w:t>
            </w:r>
            <w:r>
              <w:t>-</w:t>
            </w:r>
            <w:r w:rsidRPr="00891522">
              <w:t xml:space="preserve">Josas </w:t>
            </w:r>
            <w:r w:rsidRPr="00891522">
              <w:br/>
              <w:t xml:space="preserve">Mail: </w:t>
            </w:r>
            <w:hyperlink r:id="rId10" w:history="1">
              <w:r w:rsidR="001621E3">
                <w:rPr>
                  <w:rStyle w:val="Lienhypertexte"/>
                  <w:lang w:val="en-US"/>
                </w:rPr>
                <w:t>contact.international@geneval.fr</w:t>
              </w:r>
            </w:hyperlink>
          </w:p>
          <w:p w14:paraId="27D2EE7B" w14:textId="211BC3CF" w:rsidR="00E0111C" w:rsidRPr="00EE2CF6" w:rsidRDefault="00E0111C" w:rsidP="00E0111C">
            <w:bookmarkStart w:id="1" w:name="_GoBack"/>
            <w:bookmarkEnd w:id="1"/>
            <w:r w:rsidRPr="00891522">
              <w:t xml:space="preserve">Phone : +33 </w:t>
            </w:r>
            <w:r>
              <w:t xml:space="preserve">(0) </w:t>
            </w:r>
            <w:r w:rsidRPr="00891522">
              <w:t xml:space="preserve">1 </w:t>
            </w:r>
            <w:r>
              <w:t>85 36 05 05</w:t>
            </w:r>
            <w:r w:rsidRPr="00891522">
              <w:br/>
            </w:r>
            <w:r>
              <w:t xml:space="preserve">Web site : </w:t>
            </w:r>
            <w:hyperlink r:id="rId11" w:history="1">
              <w:r w:rsidRPr="00187165">
                <w:rPr>
                  <w:rStyle w:val="Lienhypertexte"/>
                </w:rPr>
                <w:t>https://www.geneval.fr/</w:t>
              </w:r>
            </w:hyperlink>
          </w:p>
          <w:p w14:paraId="44A03412" w14:textId="77777777" w:rsidR="00813CB3" w:rsidRPr="00891522" w:rsidRDefault="00813CB3" w:rsidP="00813CB3">
            <w:pPr>
              <w:rPr>
                <w:lang w:val="fr-FR"/>
              </w:rPr>
            </w:pPr>
          </w:p>
          <w:p w14:paraId="50FA692F" w14:textId="77777777" w:rsidR="00813CB3" w:rsidRPr="00891522" w:rsidRDefault="00813CB3" w:rsidP="00813CB3">
            <w:r w:rsidRPr="00891522">
              <w:t>Publishing:</w:t>
            </w:r>
          </w:p>
          <w:p w14:paraId="31A21754" w14:textId="77777777" w:rsidR="00813CB3" w:rsidRPr="00891522" w:rsidRDefault="00813CB3" w:rsidP="00813CB3">
            <w:r w:rsidRPr="00891522">
              <w:t>Institut de l’Elevage</w:t>
            </w:r>
          </w:p>
          <w:p w14:paraId="3265B088" w14:textId="77777777" w:rsidR="00813CB3" w:rsidRPr="00891522" w:rsidRDefault="00813CB3" w:rsidP="00813CB3">
            <w:r w:rsidRPr="00891522">
              <w:t>149 Rue de Bercy</w:t>
            </w:r>
          </w:p>
          <w:p w14:paraId="02322208" w14:textId="77777777" w:rsidR="00813CB3" w:rsidRPr="00891522" w:rsidRDefault="00813CB3" w:rsidP="00813CB3">
            <w:r w:rsidRPr="00891522">
              <w:t>F75595 Paris cedex 12</w:t>
            </w:r>
          </w:p>
          <w:p w14:paraId="58505177" w14:textId="14D0EC83" w:rsidR="00813CB3" w:rsidRPr="00891522" w:rsidRDefault="00813CB3" w:rsidP="00813CB3">
            <w:pPr>
              <w:rPr>
                <w:rFonts w:ascii="Arial" w:hAnsi="Arial" w:cs="Arial"/>
                <w:snapToGrid w:val="0"/>
              </w:rPr>
            </w:pPr>
            <w:r w:rsidRPr="00891522">
              <w:t xml:space="preserve">Mail: </w:t>
            </w:r>
            <w:hyperlink r:id="rId12" w:history="1">
              <w:r w:rsidRPr="00832E1A">
                <w:rPr>
                  <w:rStyle w:val="Lienhypertexte"/>
                  <w:lang w:val="fr-FR"/>
                </w:rPr>
                <w:t>sophie.mattalia@idele.fr</w:t>
              </w:r>
            </w:hyperlink>
          </w:p>
          <w:p w14:paraId="1C5223CB" w14:textId="77777777" w:rsidR="00813CB3" w:rsidRPr="00942838" w:rsidRDefault="00813CB3" w:rsidP="00813CB3">
            <w:pPr>
              <w:rPr>
                <w:rFonts w:ascii="Times New Roman" w:eastAsia="Times New Roman" w:hAnsi="Times New Roman" w:cs="Times New Roman"/>
                <w:lang w:val="en-US" w:eastAsia="sv-SE"/>
              </w:rPr>
            </w:pPr>
            <w:r w:rsidRPr="00891522">
              <w:rPr>
                <w:snapToGrid w:val="0"/>
              </w:rPr>
              <w:t>Web site</w:t>
            </w:r>
            <w:r w:rsidRPr="00891522">
              <w:rPr>
                <w:rFonts w:ascii="Arial" w:hAnsi="Arial" w:cs="Arial"/>
                <w:snapToGrid w:val="0"/>
              </w:rPr>
              <w:t xml:space="preserve"> : </w:t>
            </w:r>
            <w:hyperlink r:id="rId13" w:history="1">
              <w:r w:rsidRPr="00455BEE">
                <w:rPr>
                  <w:rStyle w:val="Lienhypertexte"/>
                </w:rPr>
                <w:t>www.idele.fr</w:t>
              </w:r>
            </w:hyperlink>
          </w:p>
        </w:tc>
      </w:tr>
    </w:tbl>
    <w:p w14:paraId="5E3AF40A" w14:textId="77777777" w:rsidR="00942838"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eastAsia="sv-SE"/>
        </w:rPr>
      </w:pPr>
      <w:r>
        <w:rPr>
          <w:rFonts w:ascii="Times New Roman" w:eastAsia="Times New Roman" w:hAnsi="Times New Roman" w:cs="Times New Roman"/>
          <w:sz w:val="18"/>
          <w:szCs w:val="18"/>
          <w:vertAlign w:val="superscript"/>
          <w:lang w:eastAsia="sv-SE"/>
        </w:rPr>
        <w:t>a</w:t>
      </w:r>
      <w:r w:rsidRPr="00942838">
        <w:rPr>
          <w:rFonts w:ascii="Times New Roman" w:eastAsia="Times New Roman" w:hAnsi="Times New Roman" w:cs="Times New Roman"/>
          <w:sz w:val="18"/>
          <w:szCs w:val="18"/>
          <w:lang w:eastAsia="sv-SE"/>
        </w:rPr>
        <w:t xml:space="preserve">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eastAsia="sv-SE"/>
        </w:rPr>
        <w:br/>
      </w:r>
    </w:p>
    <w:p w14:paraId="16B11946" w14:textId="77777777" w:rsidR="007D0B7E" w:rsidRPr="00942838" w:rsidRDefault="007D0B7E" w:rsidP="007D0B7E">
      <w:pPr>
        <w:pStyle w:val="Titre2"/>
      </w:pPr>
      <w:r>
        <w:t>System Validation</w:t>
      </w:r>
    </w:p>
    <w:tbl>
      <w:tblPr>
        <w:tblStyle w:val="Grilledutableau"/>
        <w:tblW w:w="9870" w:type="dxa"/>
        <w:tblLook w:val="04A0" w:firstRow="1" w:lastRow="0" w:firstColumn="1" w:lastColumn="0" w:noHBand="0" w:noVBand="1"/>
      </w:tblPr>
      <w:tblGrid>
        <w:gridCol w:w="3515"/>
        <w:gridCol w:w="6355"/>
      </w:tblGrid>
      <w:tr w:rsidR="007D0B7E" w:rsidRPr="00942838" w14:paraId="6BFBF230" w14:textId="77777777" w:rsidTr="007D0B7E">
        <w:tc>
          <w:tcPr>
            <w:tcW w:w="3515" w:type="dxa"/>
            <w:hideMark/>
          </w:tcPr>
          <w:p w14:paraId="23234CA7" w14:textId="77777777" w:rsidR="007D0B7E" w:rsidRPr="007D0B7E" w:rsidRDefault="007D0B7E" w:rsidP="007D0B7E">
            <w:pPr>
              <w:rPr>
                <w:rFonts w:ascii="Times New Roman" w:hAnsi="Times New Roman"/>
                <w:lang w:val="en-US"/>
              </w:rPr>
            </w:pPr>
            <w:r>
              <w:rPr>
                <w:rFonts w:ascii="Times New Roman" w:hAnsi="Times New Roman"/>
                <w:lang w:val="en-US"/>
              </w:rPr>
              <w:t>Approximate number of test bulls for this trait group</w:t>
            </w:r>
            <w:r w:rsidRPr="007D0B7E">
              <w:rPr>
                <w:rFonts w:ascii="Times New Roman" w:hAnsi="Times New Roman"/>
                <w:lang w:val="en-US"/>
              </w:rPr>
              <w:t>:</w:t>
            </w:r>
          </w:p>
        </w:tc>
        <w:tc>
          <w:tcPr>
            <w:tcW w:w="6355" w:type="dxa"/>
            <w:hideMark/>
          </w:tcPr>
          <w:p w14:paraId="1C405B51" w14:textId="713E6FBC" w:rsidR="0022130F" w:rsidRPr="00942838" w:rsidRDefault="00466101" w:rsidP="00A964C6">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Holstein</w:t>
            </w:r>
            <w:r w:rsidR="00A964C6">
              <w:rPr>
                <w:rFonts w:ascii="Times New Roman" w:eastAsia="Times New Roman" w:hAnsi="Times New Roman" w:cs="Times New Roman"/>
                <w:lang w:val="en-US" w:eastAsia="sv-SE"/>
              </w:rPr>
              <w:t>:</w:t>
            </w:r>
            <w:r w:rsidR="00FA6D92">
              <w:rPr>
                <w:rFonts w:ascii="Times New Roman" w:eastAsia="Times New Roman" w:hAnsi="Times New Roman" w:cs="Times New Roman"/>
                <w:lang w:val="en-US" w:eastAsia="sv-SE"/>
              </w:rPr>
              <w:t xml:space="preserve"> 1</w:t>
            </w:r>
            <w:r w:rsidR="00B0382F">
              <w:rPr>
                <w:rFonts w:ascii="Times New Roman" w:eastAsia="Times New Roman" w:hAnsi="Times New Roman" w:cs="Times New Roman"/>
                <w:lang w:val="en-US" w:eastAsia="sv-SE"/>
              </w:rPr>
              <w:t>67</w:t>
            </w:r>
            <w:r w:rsidR="00A964C6">
              <w:rPr>
                <w:rFonts w:ascii="Times New Roman" w:eastAsia="Times New Roman" w:hAnsi="Times New Roman" w:cs="Times New Roman"/>
                <w:lang w:val="en-US" w:eastAsia="sv-SE"/>
              </w:rPr>
              <w:t>0</w:t>
            </w:r>
          </w:p>
        </w:tc>
      </w:tr>
      <w:tr w:rsidR="007D0B7E" w:rsidRPr="00942838" w14:paraId="4DC7F3DF" w14:textId="77777777" w:rsidTr="007D0B7E">
        <w:tc>
          <w:tcPr>
            <w:tcW w:w="3515" w:type="dxa"/>
          </w:tcPr>
          <w:p w14:paraId="3B870B62" w14:textId="4CB9BB80" w:rsidR="007D0B7E" w:rsidRPr="007D0B7E" w:rsidRDefault="007D0B7E" w:rsidP="007D0B7E">
            <w:pPr>
              <w:rPr>
                <w:rFonts w:ascii="Times New Roman" w:hAnsi="Times New Roman"/>
                <w:lang w:val="en-US"/>
              </w:rPr>
            </w:pPr>
            <w:r>
              <w:rPr>
                <w:rFonts w:ascii="Times New Roman" w:hAnsi="Times New Roman"/>
                <w:lang w:val="en-US"/>
              </w:rPr>
              <w:t>If i</w:t>
            </w:r>
            <w:r w:rsidRPr="007D0B7E">
              <w:rPr>
                <w:rFonts w:ascii="Times New Roman" w:hAnsi="Times New Roman"/>
                <w:lang w:val="en-US"/>
              </w:rPr>
              <w:t>ncluding foreign reference bulls:</w:t>
            </w:r>
          </w:p>
          <w:p w14:paraId="46CC7077" w14:textId="77777777" w:rsidR="007D0B7E" w:rsidRPr="007D0B7E" w:rsidRDefault="007D0B7E" w:rsidP="007D0B7E">
            <w:pPr>
              <w:rPr>
                <w:rFonts w:ascii="Times New Roman" w:hAnsi="Times New Roman"/>
                <w:lang w:val="en-US"/>
              </w:rPr>
            </w:pPr>
            <w:r w:rsidRPr="007D0B7E">
              <w:rPr>
                <w:rFonts w:ascii="Times New Roman" w:hAnsi="Times New Roman"/>
                <w:lang w:val="en-US"/>
              </w:rPr>
              <w:t>4-yr old de-regressed MACE EBVs, OR</w:t>
            </w:r>
          </w:p>
          <w:p w14:paraId="2C03521C" w14:textId="77777777"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14:paraId="1671BD96" w14:textId="77777777" w:rsidR="007D0B7E" w:rsidRPr="007D0B7E" w:rsidRDefault="007D0B7E" w:rsidP="007D0B7E">
            <w:pPr>
              <w:rPr>
                <w:rFonts w:ascii="Times New Roman" w:hAnsi="Times New Roman"/>
                <w:lang w:val="en-US"/>
              </w:rPr>
            </w:pPr>
            <w:r w:rsidRPr="007D0B7E">
              <w:rPr>
                <w:rFonts w:ascii="Times New Roman" w:hAnsi="Times New Roman"/>
                <w:lang w:val="en-US"/>
              </w:rPr>
              <w:t>If including foreign test bulls (type of proof 21 or 22), provide the reason.</w:t>
            </w:r>
          </w:p>
        </w:tc>
        <w:tc>
          <w:tcPr>
            <w:tcW w:w="6355" w:type="dxa"/>
          </w:tcPr>
          <w:p w14:paraId="2482ECED" w14:textId="544FE3AE" w:rsidR="007D0B7E" w:rsidRPr="00942838" w:rsidRDefault="007D0B7E" w:rsidP="007D0B7E">
            <w:pPr>
              <w:rPr>
                <w:rFonts w:ascii="Times New Roman" w:eastAsia="Times New Roman" w:hAnsi="Times New Roman" w:cs="Times New Roman"/>
                <w:lang w:val="en-US" w:eastAsia="sv-SE"/>
              </w:rPr>
            </w:pPr>
          </w:p>
        </w:tc>
      </w:tr>
      <w:tr w:rsidR="007D0B7E" w:rsidRPr="00942838" w14:paraId="44BA1648" w14:textId="77777777" w:rsidTr="007D0B7E">
        <w:tc>
          <w:tcPr>
            <w:tcW w:w="3515" w:type="dxa"/>
          </w:tcPr>
          <w:p w14:paraId="0AE39F8F" w14:textId="77777777" w:rsidR="007D0B7E" w:rsidRPr="007D0B7E" w:rsidRDefault="007D0B7E" w:rsidP="007D0B7E">
            <w:pPr>
              <w:rPr>
                <w:rFonts w:ascii="Times New Roman" w:hAnsi="Times New Roman"/>
                <w:lang w:val="en-US"/>
              </w:rPr>
            </w:pPr>
            <w:r w:rsidRPr="007D0B7E">
              <w:rPr>
                <w:rFonts w:ascii="Times New Roman" w:hAnsi="Times New Roman"/>
                <w:lang w:val="en-US"/>
              </w:rPr>
              <w:t>If using a truncation ≠ 4 years, provide the reason.</w:t>
            </w:r>
          </w:p>
        </w:tc>
        <w:tc>
          <w:tcPr>
            <w:tcW w:w="6355" w:type="dxa"/>
          </w:tcPr>
          <w:p w14:paraId="596CF9DA" w14:textId="77777777" w:rsidR="007D0B7E" w:rsidRPr="00942838" w:rsidRDefault="00380267"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 -</w:t>
            </w:r>
          </w:p>
        </w:tc>
      </w:tr>
      <w:tr w:rsidR="007D0B7E" w:rsidRPr="00942838" w14:paraId="55F34238" w14:textId="77777777" w:rsidTr="007D0B7E">
        <w:tc>
          <w:tcPr>
            <w:tcW w:w="3515" w:type="dxa"/>
          </w:tcPr>
          <w:p w14:paraId="31F5AC30" w14:textId="77777777"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14:paraId="38DB73B9" w14:textId="77777777" w:rsidR="007D0B7E" w:rsidRPr="00942838" w:rsidRDefault="00380267"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bl>
    <w:p w14:paraId="70403927" w14:textId="77777777"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14:paraId="6ADD9310" w14:textId="77777777" w:rsidR="00AD72C5" w:rsidRDefault="00AD72C5">
      <w:pPr>
        <w:rPr>
          <w:rFonts w:ascii="Times New Roman" w:eastAsia="Times New Roman" w:hAnsi="Times New Roman" w:cs="Times New Roman"/>
          <w:b/>
          <w:bCs/>
          <w:kern w:val="36"/>
          <w:sz w:val="48"/>
          <w:szCs w:val="48"/>
          <w:lang w:eastAsia="sv-SE"/>
        </w:rPr>
      </w:pPr>
      <w:r>
        <w:br w:type="page"/>
      </w:r>
    </w:p>
    <w:p w14:paraId="515FBD6E" w14:textId="77777777" w:rsidR="00942838" w:rsidRPr="00942838" w:rsidRDefault="00942838" w:rsidP="00942838">
      <w:pPr>
        <w:pStyle w:val="Titre1"/>
      </w:pPr>
      <w:r w:rsidRPr="00942838">
        <w:lastRenderedPageBreak/>
        <w:t>Appendix GENO</w:t>
      </w:r>
    </w:p>
    <w:p w14:paraId="60F2FF19" w14:textId="5FCAA91B" w:rsidR="00942838" w:rsidRDefault="00942838" w:rsidP="00942838">
      <w:pPr>
        <w:pStyle w:val="Titre2"/>
      </w:pPr>
      <w:r w:rsidRPr="00942838">
        <w:t>Parameters use</w:t>
      </w:r>
      <w:r w:rsidR="003F74CA">
        <w:t>d in genetic/genomic evaluation</w:t>
      </w:r>
    </w:p>
    <w:p w14:paraId="334E5975" w14:textId="463422B2" w:rsidR="003F74CA" w:rsidRPr="00CB2FC2" w:rsidRDefault="003F74CA" w:rsidP="00942838">
      <w:pPr>
        <w:pStyle w:val="Titre2"/>
        <w:rPr>
          <w:i/>
          <w:color w:val="FF0000"/>
          <w:u w:val="single"/>
        </w:rPr>
      </w:pPr>
      <w:r w:rsidRPr="00CB2FC2">
        <w:rPr>
          <w:i/>
          <w:color w:val="FF0000"/>
          <w:sz w:val="24"/>
          <w:szCs w:val="24"/>
          <w:u w:val="single"/>
        </w:rPr>
        <w:t>Same as conventional evaluations: see GE Form</w:t>
      </w:r>
    </w:p>
    <w:tbl>
      <w:tblPr>
        <w:tblStyle w:val="Grilledutableau"/>
        <w:tblW w:w="9945" w:type="dxa"/>
        <w:tblLook w:val="04A0" w:firstRow="1" w:lastRow="0" w:firstColumn="1" w:lastColumn="0" w:noHBand="0" w:noVBand="1"/>
      </w:tblPr>
      <w:tblGrid>
        <w:gridCol w:w="2096"/>
        <w:gridCol w:w="989"/>
        <w:gridCol w:w="1421"/>
        <w:gridCol w:w="720"/>
        <w:gridCol w:w="1137"/>
        <w:gridCol w:w="1140"/>
        <w:gridCol w:w="2442"/>
      </w:tblGrid>
      <w:tr w:rsidR="00942838" w:rsidRPr="00942838" w14:paraId="3E249E6A" w14:textId="77777777" w:rsidTr="00942838">
        <w:tc>
          <w:tcPr>
            <w:tcW w:w="3090" w:type="dxa"/>
            <w:gridSpan w:val="2"/>
            <w:hideMark/>
          </w:tcPr>
          <w:p w14:paraId="65314FA0"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Country (or countries):</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2FC89C65"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3B687AE2" w14:textId="77777777" w:rsidTr="00942838">
        <w:tc>
          <w:tcPr>
            <w:tcW w:w="3090" w:type="dxa"/>
            <w:gridSpan w:val="2"/>
            <w:hideMark/>
          </w:tcPr>
          <w:p w14:paraId="1DDE2C8A"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Main trait group:</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6F5F706A"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7B531290" w14:textId="77777777" w:rsidTr="00942838">
        <w:tc>
          <w:tcPr>
            <w:tcW w:w="3090" w:type="dxa"/>
            <w:gridSpan w:val="2"/>
            <w:hideMark/>
          </w:tcPr>
          <w:p w14:paraId="323F0AFE"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Breed (repeat as necessary):</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3795726A"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36B9FBD2" w14:textId="77777777" w:rsidTr="00942838">
        <w:tc>
          <w:tcPr>
            <w:tcW w:w="2100" w:type="dxa"/>
            <w:hideMark/>
          </w:tcPr>
          <w:p w14:paraId="3CFC1825"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Trait </w:t>
            </w:r>
          </w:p>
        </w:tc>
        <w:tc>
          <w:tcPr>
            <w:tcW w:w="2415" w:type="dxa"/>
            <w:gridSpan w:val="2"/>
            <w:hideMark/>
          </w:tcPr>
          <w:p w14:paraId="2E372AC5"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Definition </w:t>
            </w:r>
          </w:p>
        </w:tc>
        <w:tc>
          <w:tcPr>
            <w:tcW w:w="720" w:type="dxa"/>
            <w:hideMark/>
          </w:tcPr>
          <w:p w14:paraId="15708D8D"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ITB</w:t>
            </w:r>
            <w:r w:rsidRPr="00942838">
              <w:rPr>
                <w:rFonts w:ascii="Times New Roman" w:eastAsia="Times New Roman" w:hAnsi="Times New Roman" w:cs="Times New Roman"/>
                <w:sz w:val="24"/>
                <w:szCs w:val="24"/>
                <w:vertAlign w:val="superscript"/>
                <w:lang w:eastAsia="sv-SE"/>
              </w:rPr>
              <w:t>a</w:t>
            </w:r>
            <w:r w:rsidRPr="00942838">
              <w:rPr>
                <w:rFonts w:ascii="Times New Roman" w:eastAsia="Times New Roman" w:hAnsi="Times New Roman" w:cs="Times New Roman"/>
                <w:sz w:val="24"/>
                <w:szCs w:val="24"/>
                <w:lang w:eastAsia="sv-SE"/>
              </w:rPr>
              <w:t xml:space="preserve"> </w:t>
            </w:r>
          </w:p>
        </w:tc>
        <w:tc>
          <w:tcPr>
            <w:tcW w:w="1140" w:type="dxa"/>
            <w:hideMark/>
          </w:tcPr>
          <w:p w14:paraId="19F326BA"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h</w:t>
            </w:r>
            <w:r w:rsidRPr="00942838">
              <w:rPr>
                <w:rFonts w:ascii="Times New Roman" w:eastAsia="Times New Roman" w:hAnsi="Times New Roman" w:cs="Times New Roman"/>
                <w:sz w:val="24"/>
                <w:szCs w:val="24"/>
                <w:vertAlign w:val="superscript"/>
                <w:lang w:eastAsia="sv-SE"/>
              </w:rPr>
              <w:t>2b</w:t>
            </w:r>
            <w:r w:rsidRPr="00942838">
              <w:rPr>
                <w:rFonts w:ascii="Times New Roman" w:eastAsia="Times New Roman" w:hAnsi="Times New Roman" w:cs="Times New Roman"/>
                <w:sz w:val="24"/>
                <w:szCs w:val="24"/>
                <w:lang w:eastAsia="sv-SE"/>
              </w:rPr>
              <w:t xml:space="preserve"> </w:t>
            </w:r>
          </w:p>
        </w:tc>
        <w:tc>
          <w:tcPr>
            <w:tcW w:w="1140" w:type="dxa"/>
            <w:hideMark/>
          </w:tcPr>
          <w:p w14:paraId="20217282"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Genetic variance</w:t>
            </w:r>
            <w:r w:rsidRPr="00942838">
              <w:rPr>
                <w:rFonts w:ascii="Times New Roman" w:eastAsia="Times New Roman" w:hAnsi="Times New Roman" w:cs="Times New Roman"/>
                <w:sz w:val="24"/>
                <w:szCs w:val="24"/>
                <w:vertAlign w:val="superscript"/>
                <w:lang w:eastAsia="sv-SE"/>
              </w:rPr>
              <w:t>b</w:t>
            </w:r>
            <w:r w:rsidRPr="00942838">
              <w:rPr>
                <w:rFonts w:ascii="Times New Roman" w:eastAsia="Times New Roman" w:hAnsi="Times New Roman" w:cs="Times New Roman"/>
                <w:sz w:val="24"/>
                <w:szCs w:val="24"/>
                <w:lang w:eastAsia="sv-SE"/>
              </w:rPr>
              <w:t xml:space="preserve"> </w:t>
            </w:r>
          </w:p>
        </w:tc>
        <w:tc>
          <w:tcPr>
            <w:tcW w:w="2400" w:type="dxa"/>
            <w:hideMark/>
          </w:tcPr>
          <w:p w14:paraId="3E329CE6"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Official proof standardisation formula</w:t>
            </w:r>
            <w:r w:rsidRPr="00942838">
              <w:rPr>
                <w:rFonts w:ascii="Times New Roman" w:eastAsia="Times New Roman" w:hAnsi="Times New Roman" w:cs="Times New Roman"/>
                <w:sz w:val="24"/>
                <w:szCs w:val="24"/>
                <w:vertAlign w:val="superscript"/>
                <w:lang w:eastAsia="sv-SE"/>
              </w:rPr>
              <w:t>c</w:t>
            </w:r>
            <w:r w:rsidRPr="00942838">
              <w:rPr>
                <w:rFonts w:ascii="Times New Roman" w:eastAsia="Times New Roman" w:hAnsi="Times New Roman" w:cs="Times New Roman"/>
                <w:sz w:val="24"/>
                <w:szCs w:val="24"/>
                <w:lang w:eastAsia="sv-SE"/>
              </w:rPr>
              <w:t xml:space="preserve"> </w:t>
            </w:r>
          </w:p>
        </w:tc>
      </w:tr>
      <w:tr w:rsidR="00942838" w:rsidRPr="00942838" w14:paraId="739DD22C" w14:textId="77777777" w:rsidTr="00942838">
        <w:trPr>
          <w:trHeight w:val="397"/>
        </w:trPr>
        <w:tc>
          <w:tcPr>
            <w:tcW w:w="2100" w:type="dxa"/>
            <w:hideMark/>
          </w:tcPr>
          <w:p w14:paraId="17FE8015" w14:textId="77777777" w:rsidR="00942838" w:rsidRPr="00942838" w:rsidRDefault="00942838" w:rsidP="00942838">
            <w:pPr>
              <w:rPr>
                <w:rFonts w:ascii="Times New Roman" w:eastAsia="Times New Roman" w:hAnsi="Times New Roman" w:cs="Times New Roman"/>
                <w:sz w:val="24"/>
                <w:szCs w:val="24"/>
                <w:lang w:eastAsia="sv-SE"/>
              </w:rPr>
            </w:pPr>
          </w:p>
        </w:tc>
        <w:tc>
          <w:tcPr>
            <w:tcW w:w="2415" w:type="dxa"/>
            <w:gridSpan w:val="2"/>
            <w:hideMark/>
          </w:tcPr>
          <w:p w14:paraId="19846279" w14:textId="77777777"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14:paraId="06C28252"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6F0E2667"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0CE43A7A" w14:textId="77777777" w:rsidR="00942838" w:rsidRPr="00942838" w:rsidRDefault="00942838" w:rsidP="00942838">
            <w:pPr>
              <w:rPr>
                <w:rFonts w:ascii="Times New Roman" w:eastAsia="Times New Roman" w:hAnsi="Times New Roman" w:cs="Times New Roman"/>
                <w:sz w:val="24"/>
                <w:szCs w:val="24"/>
                <w:lang w:eastAsia="sv-SE"/>
              </w:rPr>
            </w:pPr>
          </w:p>
        </w:tc>
        <w:tc>
          <w:tcPr>
            <w:tcW w:w="2400" w:type="dxa"/>
            <w:hideMark/>
          </w:tcPr>
          <w:p w14:paraId="2AA413F1"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40EF700D" w14:textId="77777777" w:rsidTr="00942838">
        <w:trPr>
          <w:trHeight w:val="397"/>
        </w:trPr>
        <w:tc>
          <w:tcPr>
            <w:tcW w:w="2100" w:type="dxa"/>
            <w:hideMark/>
          </w:tcPr>
          <w:p w14:paraId="0894E915" w14:textId="77777777" w:rsidR="00942838" w:rsidRPr="00942838" w:rsidRDefault="00942838" w:rsidP="00942838">
            <w:pPr>
              <w:rPr>
                <w:rFonts w:ascii="Times New Roman" w:eastAsia="Times New Roman" w:hAnsi="Times New Roman" w:cs="Times New Roman"/>
                <w:sz w:val="24"/>
                <w:szCs w:val="24"/>
                <w:lang w:eastAsia="sv-SE"/>
              </w:rPr>
            </w:pPr>
          </w:p>
        </w:tc>
        <w:tc>
          <w:tcPr>
            <w:tcW w:w="2415" w:type="dxa"/>
            <w:gridSpan w:val="2"/>
            <w:hideMark/>
          </w:tcPr>
          <w:p w14:paraId="53BE9149" w14:textId="77777777"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14:paraId="50D8825F"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1D0E6316"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4BFBFE09" w14:textId="77777777" w:rsidR="00942838" w:rsidRPr="00942838" w:rsidRDefault="00942838" w:rsidP="00942838">
            <w:pPr>
              <w:rPr>
                <w:rFonts w:ascii="Times New Roman" w:eastAsia="Times New Roman" w:hAnsi="Times New Roman" w:cs="Times New Roman"/>
                <w:sz w:val="24"/>
                <w:szCs w:val="24"/>
                <w:lang w:eastAsia="sv-SE"/>
              </w:rPr>
            </w:pPr>
          </w:p>
        </w:tc>
        <w:tc>
          <w:tcPr>
            <w:tcW w:w="2400" w:type="dxa"/>
            <w:hideMark/>
          </w:tcPr>
          <w:p w14:paraId="1D4D7E35" w14:textId="77777777" w:rsidR="00942838" w:rsidRPr="00942838" w:rsidRDefault="00942838" w:rsidP="00942838">
            <w:pPr>
              <w:rPr>
                <w:rFonts w:ascii="Times New Roman" w:eastAsia="Times New Roman" w:hAnsi="Times New Roman" w:cs="Times New Roman"/>
                <w:sz w:val="24"/>
                <w:szCs w:val="24"/>
                <w:lang w:eastAsia="sv-SE"/>
              </w:rPr>
            </w:pPr>
          </w:p>
        </w:tc>
      </w:tr>
    </w:tbl>
    <w:p w14:paraId="3CAA706C" w14:textId="77777777" w:rsidR="00942838" w:rsidRPr="00942838" w:rsidRDefault="00942838" w:rsidP="00942838">
      <w:pPr>
        <w:spacing w:after="0"/>
        <w:rPr>
          <w:rFonts w:ascii="Times New Roman" w:hAnsi="Times New Roman" w:cs="Times New Roman"/>
          <w:sz w:val="18"/>
          <w:szCs w:val="18"/>
          <w:lang w:eastAsia="sv-SE"/>
        </w:rPr>
      </w:pPr>
      <w:r w:rsidRPr="00942838">
        <w:rPr>
          <w:rFonts w:ascii="Times New Roman" w:hAnsi="Times New Roman" w:cs="Times New Roman"/>
          <w:sz w:val="18"/>
          <w:szCs w:val="18"/>
          <w:vertAlign w:val="superscript"/>
          <w:lang w:eastAsia="sv-SE"/>
        </w:rPr>
        <w:t>a</w:t>
      </w:r>
      <w:r w:rsidRPr="00942838">
        <w:rPr>
          <w:rFonts w:ascii="Times New Roman" w:hAnsi="Times New Roman" w:cs="Times New Roman"/>
          <w:sz w:val="18"/>
          <w:szCs w:val="18"/>
          <w:lang w:eastAsia="sv-SE"/>
        </w:rPr>
        <w:t>Indicate, with X, traits that are submitted to Interbull for international genetic evaluations.</w:t>
      </w:r>
    </w:p>
    <w:p w14:paraId="71A7C6EF" w14:textId="77777777" w:rsidR="00942838" w:rsidRPr="00942838" w:rsidRDefault="00942838" w:rsidP="00942838">
      <w:pPr>
        <w:spacing w:after="0"/>
        <w:rPr>
          <w:rFonts w:ascii="Times New Roman" w:hAnsi="Times New Roman" w:cs="Times New Roman"/>
          <w:sz w:val="18"/>
          <w:szCs w:val="18"/>
          <w:lang w:eastAsia="sv-SE"/>
        </w:rPr>
      </w:pPr>
      <w:r w:rsidRPr="00942838">
        <w:rPr>
          <w:rFonts w:ascii="Times New Roman" w:hAnsi="Times New Roman" w:cs="Times New Roman"/>
          <w:sz w:val="18"/>
          <w:szCs w:val="18"/>
          <w:vertAlign w:val="superscript"/>
          <w:lang w:eastAsia="sv-SE"/>
        </w:rPr>
        <w:t>b</w:t>
      </w:r>
      <w:r w:rsidRPr="00942838">
        <w:rPr>
          <w:rFonts w:ascii="Times New Roman" w:hAnsi="Times New Roman" w:cs="Times New Roman"/>
          <w:sz w:val="18"/>
          <w:szCs w:val="18"/>
          <w:lang w:eastAsia="sv-SE"/>
        </w:rPr>
        <w:t>If repeated records are treated as separate traits, provide heritability estimates and genetic variances separately for each trait, as well as for all traits pooled, i.e. for the trait submitted to Interbull.</w:t>
      </w:r>
    </w:p>
    <w:p w14:paraId="4C87A7A6" w14:textId="77777777" w:rsidR="00A45E04" w:rsidRPr="00942838" w:rsidRDefault="00942838" w:rsidP="00942838">
      <w:pPr>
        <w:spacing w:after="0"/>
        <w:rPr>
          <w:rFonts w:ascii="Times New Roman" w:hAnsi="Times New Roman" w:cs="Times New Roman"/>
          <w:sz w:val="18"/>
          <w:szCs w:val="18"/>
          <w:lang w:eastAsia="sv-SE"/>
        </w:rPr>
      </w:pPr>
      <w:r w:rsidRPr="00942838">
        <w:rPr>
          <w:rFonts w:ascii="Times New Roman" w:hAnsi="Times New Roman" w:cs="Times New Roman"/>
          <w:sz w:val="18"/>
          <w:szCs w:val="18"/>
          <w:vertAlign w:val="superscript"/>
          <w:lang w:eastAsia="sv-SE"/>
        </w:rPr>
        <w:t>c</w:t>
      </w:r>
      <w:r w:rsidRPr="00942838">
        <w:rPr>
          <w:rFonts w:ascii="Times New Roman" w:hAnsi="Times New Roman" w:cs="Times New Roman"/>
          <w:sz w:val="18"/>
          <w:szCs w:val="18"/>
          <w:lang w:eastAsia="sv-SE"/>
        </w:rPr>
        <w:t xml:space="preserve">Expressed as follows: StandEval=((eval-a)/b)*c+d where a=mean of the base adjustment, b=standard deviation of the base, c=standard deviation of expression (include sign if scale is reversed), and d=base of expression. </w:t>
      </w:r>
      <w:bookmarkEnd w:id="0"/>
    </w:p>
    <w:sectPr w:rsidR="00A45E04" w:rsidRPr="00942838" w:rsidSect="00C30D32">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9D8C6" w14:textId="77777777" w:rsidR="001F7D07" w:rsidRDefault="001F7D07" w:rsidP="00AD72C5">
      <w:pPr>
        <w:spacing w:after="0" w:line="240" w:lineRule="auto"/>
      </w:pPr>
      <w:r>
        <w:separator/>
      </w:r>
    </w:p>
  </w:endnote>
  <w:endnote w:type="continuationSeparator" w:id="0">
    <w:p w14:paraId="6063D987" w14:textId="77777777" w:rsidR="001F7D07" w:rsidRDefault="001F7D07"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7A3D7" w14:textId="77777777" w:rsidR="001F7D07" w:rsidRDefault="001F7D07" w:rsidP="00AD72C5">
      <w:pPr>
        <w:spacing w:after="0" w:line="240" w:lineRule="auto"/>
      </w:pPr>
      <w:r>
        <w:separator/>
      </w:r>
    </w:p>
  </w:footnote>
  <w:footnote w:type="continuationSeparator" w:id="0">
    <w:p w14:paraId="702BD1C2" w14:textId="77777777" w:rsidR="001F7D07" w:rsidRDefault="001F7D07" w:rsidP="00AD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8AD1" w14:textId="77777777" w:rsidR="00AD72C5" w:rsidRDefault="00AD72C5">
    <w:pPr>
      <w:pStyle w:val="En-tte"/>
    </w:pPr>
    <w:r>
      <w:rPr>
        <w:noProof/>
        <w:lang w:val="fr-FR" w:eastAsia="fr-FR"/>
      </w:rPr>
      <w:drawing>
        <wp:inline distT="0" distB="0" distL="0" distR="0" wp14:anchorId="5327B2A1" wp14:editId="34FCB3EA">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B9D"/>
    <w:multiLevelType w:val="singleLevel"/>
    <w:tmpl w:val="040C0005"/>
    <w:lvl w:ilvl="0">
      <w:start w:val="1"/>
      <w:numFmt w:val="bullet"/>
      <w:lvlText w:val=""/>
      <w:lvlJc w:val="left"/>
      <w:pPr>
        <w:tabs>
          <w:tab w:val="num" w:pos="360"/>
        </w:tabs>
        <w:ind w:left="360" w:hanging="360"/>
      </w:pPr>
      <w:rPr>
        <w:rFonts w:ascii="Wingdings" w:hAnsi="Wingdings" w:cs="Wingdings" w:hint="default"/>
      </w:rPr>
    </w:lvl>
  </w:abstractNum>
  <w:abstractNum w:abstractNumId="1" w15:restartNumberingAfterBreak="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49139FB"/>
    <w:multiLevelType w:val="singleLevel"/>
    <w:tmpl w:val="EB0605AA"/>
    <w:lvl w:ilvl="0">
      <w:start w:val="1"/>
      <w:numFmt w:val="bullet"/>
      <w:lvlText w:val=""/>
      <w:lvlJc w:val="left"/>
      <w:pPr>
        <w:tabs>
          <w:tab w:val="num" w:pos="360"/>
        </w:tabs>
        <w:ind w:left="360" w:hanging="360"/>
      </w:pPr>
      <w:rPr>
        <w:rFonts w:ascii="Wingdings" w:hAnsi="Wingdings" w:cs="Wingdings" w:hint="default"/>
        <w:color w:val="auto"/>
      </w:rPr>
    </w:lvl>
  </w:abstractNum>
  <w:abstractNum w:abstractNumId="4" w15:restartNumberingAfterBreak="0">
    <w:nsid w:val="26FF41E7"/>
    <w:multiLevelType w:val="singleLevel"/>
    <w:tmpl w:val="040C0005"/>
    <w:lvl w:ilvl="0">
      <w:start w:val="1"/>
      <w:numFmt w:val="bullet"/>
      <w:lvlText w:val=""/>
      <w:lvlJc w:val="left"/>
      <w:pPr>
        <w:tabs>
          <w:tab w:val="num" w:pos="360"/>
        </w:tabs>
        <w:ind w:left="360" w:hanging="360"/>
      </w:pPr>
      <w:rPr>
        <w:rFonts w:ascii="Wingdings" w:hAnsi="Wingdings" w:cs="Wingdings" w:hint="default"/>
      </w:rPr>
    </w:lvl>
  </w:abstractNum>
  <w:abstractNum w:abstractNumId="5" w15:restartNumberingAfterBreak="0">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1406B6"/>
    <w:multiLevelType w:val="singleLevel"/>
    <w:tmpl w:val="040C0005"/>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6"/>
  </w:num>
  <w:num w:numId="4">
    <w:abstractNumId w:val="5"/>
  </w:num>
  <w:num w:numId="5">
    <w:abstractNumId w:val="8"/>
  </w:num>
  <w:num w:numId="6">
    <w:abstractNumId w:val="1"/>
  </w:num>
  <w:num w:numId="7">
    <w:abstractNumId w:val="7"/>
  </w:num>
  <w:num w:numId="8">
    <w:abstractNumId w:val="2"/>
  </w:num>
  <w:num w:numId="9">
    <w:abstractNumId w:val="2"/>
  </w:num>
  <w:num w:numId="10">
    <w:abstractNumId w:val="4"/>
  </w:num>
  <w:num w:numId="11">
    <w:abstractNumId w:val="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38"/>
    <w:rsid w:val="00014FFC"/>
    <w:rsid w:val="00047635"/>
    <w:rsid w:val="000B1D8C"/>
    <w:rsid w:val="000C43CE"/>
    <w:rsid w:val="00155104"/>
    <w:rsid w:val="001621E3"/>
    <w:rsid w:val="001D5A87"/>
    <w:rsid w:val="001E7C7F"/>
    <w:rsid w:val="001F7D07"/>
    <w:rsid w:val="0022130F"/>
    <w:rsid w:val="002A0F91"/>
    <w:rsid w:val="00324FD2"/>
    <w:rsid w:val="003457D9"/>
    <w:rsid w:val="00380267"/>
    <w:rsid w:val="003A48CE"/>
    <w:rsid w:val="003F74CA"/>
    <w:rsid w:val="00466101"/>
    <w:rsid w:val="004815BC"/>
    <w:rsid w:val="0049737C"/>
    <w:rsid w:val="004A2C9F"/>
    <w:rsid w:val="004E79F3"/>
    <w:rsid w:val="004E7B8C"/>
    <w:rsid w:val="005A0B20"/>
    <w:rsid w:val="005A769D"/>
    <w:rsid w:val="005B49E0"/>
    <w:rsid w:val="006110AA"/>
    <w:rsid w:val="0061302D"/>
    <w:rsid w:val="00630101"/>
    <w:rsid w:val="006329EA"/>
    <w:rsid w:val="006778A5"/>
    <w:rsid w:val="007366D6"/>
    <w:rsid w:val="00742848"/>
    <w:rsid w:val="00745839"/>
    <w:rsid w:val="007817C2"/>
    <w:rsid w:val="007A78B7"/>
    <w:rsid w:val="007C518E"/>
    <w:rsid w:val="007D0B7E"/>
    <w:rsid w:val="007D22D2"/>
    <w:rsid w:val="00804D7C"/>
    <w:rsid w:val="00813CB3"/>
    <w:rsid w:val="0081551A"/>
    <w:rsid w:val="008D1F89"/>
    <w:rsid w:val="00902047"/>
    <w:rsid w:val="00906EF0"/>
    <w:rsid w:val="00942838"/>
    <w:rsid w:val="0094595A"/>
    <w:rsid w:val="00973CE9"/>
    <w:rsid w:val="00A07B3E"/>
    <w:rsid w:val="00A2444F"/>
    <w:rsid w:val="00A45E04"/>
    <w:rsid w:val="00A76065"/>
    <w:rsid w:val="00A7624C"/>
    <w:rsid w:val="00A762AC"/>
    <w:rsid w:val="00A77038"/>
    <w:rsid w:val="00A964C6"/>
    <w:rsid w:val="00AB0379"/>
    <w:rsid w:val="00AC3E62"/>
    <w:rsid w:val="00AD72C5"/>
    <w:rsid w:val="00AF0BA1"/>
    <w:rsid w:val="00B0382F"/>
    <w:rsid w:val="00B10888"/>
    <w:rsid w:val="00B45B2C"/>
    <w:rsid w:val="00B611F6"/>
    <w:rsid w:val="00B9494C"/>
    <w:rsid w:val="00BA3F96"/>
    <w:rsid w:val="00BF4B65"/>
    <w:rsid w:val="00C30D32"/>
    <w:rsid w:val="00CB2FC2"/>
    <w:rsid w:val="00D04563"/>
    <w:rsid w:val="00D42128"/>
    <w:rsid w:val="00D44E00"/>
    <w:rsid w:val="00D70824"/>
    <w:rsid w:val="00DC7E17"/>
    <w:rsid w:val="00DD0FD9"/>
    <w:rsid w:val="00E0111C"/>
    <w:rsid w:val="00E736C6"/>
    <w:rsid w:val="00EA1E7A"/>
    <w:rsid w:val="00EA24AC"/>
    <w:rsid w:val="00F613D9"/>
    <w:rsid w:val="00F63829"/>
    <w:rsid w:val="00F73855"/>
    <w:rsid w:val="00FA6D92"/>
    <w:rsid w:val="00FE34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5A016"/>
  <w15:docId w15:val="{509A7E53-6E5A-4341-B3BA-639BFBF5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D32"/>
  </w:style>
  <w:style w:type="paragraph" w:styleId="Titre1">
    <w:name w:val="heading 1"/>
    <w:basedOn w:val="Normal"/>
    <w:link w:val="Titre1Car"/>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Titre2">
    <w:name w:val="heading 2"/>
    <w:basedOn w:val="Normal"/>
    <w:link w:val="Titre2Car"/>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2838"/>
    <w:rPr>
      <w:rFonts w:ascii="Times New Roman" w:eastAsia="Times New Roman" w:hAnsi="Times New Roman" w:cs="Times New Roman"/>
      <w:b/>
      <w:bCs/>
      <w:kern w:val="36"/>
      <w:sz w:val="48"/>
      <w:szCs w:val="48"/>
      <w:lang w:eastAsia="sv-SE"/>
    </w:rPr>
  </w:style>
  <w:style w:type="character" w:customStyle="1" w:styleId="Titre2Car">
    <w:name w:val="Titre 2 Car"/>
    <w:basedOn w:val="Policepardfaut"/>
    <w:link w:val="Titre2"/>
    <w:uiPriority w:val="9"/>
    <w:rsid w:val="00942838"/>
    <w:rPr>
      <w:rFonts w:ascii="Times New Roman" w:eastAsia="Times New Roman" w:hAnsi="Times New Roman" w:cs="Times New Roman"/>
      <w:b/>
      <w:bCs/>
      <w:sz w:val="36"/>
      <w:szCs w:val="36"/>
      <w:lang w:eastAsia="sv-SE"/>
    </w:rPr>
  </w:style>
  <w:style w:type="character" w:styleId="Lienhypertexte">
    <w:name w:val="Hyperlink"/>
    <w:basedOn w:val="Policepardfaut"/>
    <w:uiPriority w:val="99"/>
    <w:unhideWhenUsed/>
    <w:rsid w:val="00942838"/>
    <w:rPr>
      <w:color w:val="0000FF"/>
      <w:u w:val="single"/>
    </w:rPr>
  </w:style>
  <w:style w:type="paragraph" w:styleId="z-Hautduformulaire">
    <w:name w:val="HTML Top of Form"/>
    <w:basedOn w:val="Normal"/>
    <w:next w:val="Normal"/>
    <w:link w:val="z-HautduformulaireCar"/>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HautduformulaireCar">
    <w:name w:val="z-Haut du formulaire Car"/>
    <w:basedOn w:val="Policepardfaut"/>
    <w:link w:val="z-Hautduformulaire"/>
    <w:uiPriority w:val="99"/>
    <w:semiHidden/>
    <w:rsid w:val="00942838"/>
    <w:rPr>
      <w:rFonts w:ascii="Arial" w:eastAsia="Times New Roman" w:hAnsi="Arial" w:cs="Arial"/>
      <w:vanish/>
      <w:sz w:val="16"/>
      <w:szCs w:val="16"/>
      <w:lang w:eastAsia="sv-SE"/>
    </w:rPr>
  </w:style>
  <w:style w:type="paragraph" w:styleId="z-Basduformulaire">
    <w:name w:val="HTML Bottom of Form"/>
    <w:basedOn w:val="Normal"/>
    <w:next w:val="Normal"/>
    <w:link w:val="z-BasduformulaireCar"/>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asduformulaireCar">
    <w:name w:val="z-Bas du formulaire Car"/>
    <w:basedOn w:val="Policepardfaut"/>
    <w:link w:val="z-Basduformulaire"/>
    <w:uiPriority w:val="99"/>
    <w:semiHidden/>
    <w:rsid w:val="00942838"/>
    <w:rPr>
      <w:rFonts w:ascii="Arial" w:eastAsia="Times New Roman" w:hAnsi="Arial" w:cs="Arial"/>
      <w:vanish/>
      <w:sz w:val="16"/>
      <w:szCs w:val="16"/>
      <w:lang w:eastAsia="sv-SE"/>
    </w:rPr>
  </w:style>
  <w:style w:type="paragraph" w:customStyle="1" w:styleId="line867">
    <w:name w:val="line867"/>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lev">
    <w:name w:val="Strong"/>
    <w:basedOn w:val="Policepardfaut"/>
    <w:uiPriority w:val="22"/>
    <w:qFormat/>
    <w:rsid w:val="00942838"/>
    <w:rPr>
      <w:b/>
      <w:bCs/>
    </w:rPr>
  </w:style>
  <w:style w:type="paragraph" w:customStyle="1" w:styleId="line862">
    <w:name w:val="line862"/>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Grilledutableau">
    <w:name w:val="Table Grid"/>
    <w:basedOn w:val="TableauNormal"/>
    <w:uiPriority w:val="59"/>
    <w:rsid w:val="00942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42838"/>
    <w:pPr>
      <w:spacing w:after="0" w:line="240" w:lineRule="auto"/>
      <w:ind w:left="720"/>
    </w:pPr>
    <w:rPr>
      <w:rFonts w:ascii="Calibri" w:hAnsi="Calibri" w:cs="Times New Roman"/>
    </w:rPr>
  </w:style>
  <w:style w:type="paragraph" w:styleId="En-tte">
    <w:name w:val="header"/>
    <w:basedOn w:val="Normal"/>
    <w:link w:val="En-tteCar"/>
    <w:uiPriority w:val="99"/>
    <w:unhideWhenUsed/>
    <w:rsid w:val="00AD72C5"/>
    <w:pPr>
      <w:tabs>
        <w:tab w:val="center" w:pos="4513"/>
        <w:tab w:val="right" w:pos="9026"/>
      </w:tabs>
      <w:spacing w:after="0" w:line="240" w:lineRule="auto"/>
    </w:pPr>
  </w:style>
  <w:style w:type="character" w:customStyle="1" w:styleId="En-tteCar">
    <w:name w:val="En-tête Car"/>
    <w:basedOn w:val="Policepardfaut"/>
    <w:link w:val="En-tte"/>
    <w:uiPriority w:val="99"/>
    <w:rsid w:val="00AD72C5"/>
  </w:style>
  <w:style w:type="paragraph" w:styleId="Pieddepage">
    <w:name w:val="footer"/>
    <w:basedOn w:val="Normal"/>
    <w:link w:val="PieddepageCar"/>
    <w:uiPriority w:val="99"/>
    <w:unhideWhenUsed/>
    <w:rsid w:val="00AD72C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D72C5"/>
  </w:style>
  <w:style w:type="paragraph" w:styleId="Textedebulles">
    <w:name w:val="Balloon Text"/>
    <w:basedOn w:val="Normal"/>
    <w:link w:val="TextedebullesCar"/>
    <w:uiPriority w:val="99"/>
    <w:semiHidden/>
    <w:unhideWhenUsed/>
    <w:rsid w:val="00AD72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72C5"/>
    <w:rPr>
      <w:rFonts w:ascii="Tahoma" w:hAnsi="Tahoma" w:cs="Tahoma"/>
      <w:sz w:val="16"/>
      <w:szCs w:val="16"/>
    </w:rPr>
  </w:style>
  <w:style w:type="character" w:styleId="Marquedecommentaire">
    <w:name w:val="annotation reference"/>
    <w:basedOn w:val="Policepardfaut"/>
    <w:uiPriority w:val="99"/>
    <w:semiHidden/>
    <w:unhideWhenUsed/>
    <w:rsid w:val="006110AA"/>
    <w:rPr>
      <w:sz w:val="16"/>
      <w:szCs w:val="16"/>
    </w:rPr>
  </w:style>
  <w:style w:type="paragraph" w:styleId="Commentaire">
    <w:name w:val="annotation text"/>
    <w:basedOn w:val="Normal"/>
    <w:link w:val="CommentaireCar"/>
    <w:uiPriority w:val="99"/>
    <w:semiHidden/>
    <w:unhideWhenUsed/>
    <w:rsid w:val="006110AA"/>
    <w:pPr>
      <w:spacing w:line="240" w:lineRule="auto"/>
    </w:pPr>
    <w:rPr>
      <w:sz w:val="20"/>
      <w:szCs w:val="20"/>
    </w:rPr>
  </w:style>
  <w:style w:type="character" w:customStyle="1" w:styleId="CommentaireCar">
    <w:name w:val="Commentaire Car"/>
    <w:basedOn w:val="Policepardfaut"/>
    <w:link w:val="Commentaire"/>
    <w:uiPriority w:val="99"/>
    <w:semiHidden/>
    <w:rsid w:val="006110AA"/>
    <w:rPr>
      <w:sz w:val="20"/>
      <w:szCs w:val="20"/>
    </w:rPr>
  </w:style>
  <w:style w:type="paragraph" w:styleId="Objetducommentaire">
    <w:name w:val="annotation subject"/>
    <w:basedOn w:val="Commentaire"/>
    <w:next w:val="Commentaire"/>
    <w:link w:val="ObjetducommentaireCar"/>
    <w:uiPriority w:val="99"/>
    <w:semiHidden/>
    <w:unhideWhenUsed/>
    <w:rsid w:val="006110AA"/>
    <w:rPr>
      <w:b/>
      <w:bCs/>
    </w:rPr>
  </w:style>
  <w:style w:type="character" w:customStyle="1" w:styleId="ObjetducommentaireCar">
    <w:name w:val="Objet du commentaire Car"/>
    <w:basedOn w:val="CommentaireCar"/>
    <w:link w:val="Objetducommentaire"/>
    <w:uiPriority w:val="99"/>
    <w:semiHidden/>
    <w:rsid w:val="006110AA"/>
    <w:rPr>
      <w:b/>
      <w:bCs/>
      <w:sz w:val="20"/>
      <w:szCs w:val="20"/>
    </w:rPr>
  </w:style>
  <w:style w:type="paragraph" w:customStyle="1" w:styleId="Standard">
    <w:name w:val="Standard"/>
    <w:uiPriority w:val="99"/>
    <w:rsid w:val="00F73855"/>
    <w:pPr>
      <w:suppressAutoHyphens/>
    </w:pPr>
    <w:rPr>
      <w:rFonts w:ascii="Calibri" w:eastAsia="Calibri" w:hAnsi="Calibri" w:cs="Calibri"/>
      <w:color w:val="00000A"/>
      <w:lang w:val="en-GB"/>
    </w:rPr>
  </w:style>
  <w:style w:type="paragraph" w:customStyle="1" w:styleId="normal0">
    <w:name w:val="normal_"/>
    <w:basedOn w:val="Normal"/>
    <w:rsid w:val="00813CB3"/>
    <w:pPr>
      <w:autoSpaceDE w:val="0"/>
      <w:autoSpaceDN w:val="0"/>
      <w:spacing w:after="0" w:line="239" w:lineRule="atLeast"/>
    </w:pPr>
    <w:rPr>
      <w:rFonts w:ascii="Times" w:eastAsia="Times New Roman" w:hAnsi="Times" w:cs="Times"/>
      <w:noProof/>
      <w:color w:val="000000"/>
      <w:sz w:val="24"/>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medcentral.com/1471-2164/15/478" TargetMode="External"/><Relationship Id="rId13" Type="http://schemas.openxmlformats.org/officeDocument/2006/relationships/hyperlink" Target="http://www.ide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phie.mattalia@idel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neval.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tact.international@geneval.fr" TargetMode="External"/><Relationship Id="rId4" Type="http://schemas.openxmlformats.org/officeDocument/2006/relationships/settings" Target="settings.xml"/><Relationship Id="rId9" Type="http://schemas.openxmlformats.org/officeDocument/2006/relationships/hyperlink" Target="http://idele.fr/no_cache/recherche/publication/idelesolr/recommends/ibl2015-5-la-nouvelle-methode-francaise-devaluation-genomique.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577F0-F1FF-41E0-9FA0-80279B812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1245</Words>
  <Characters>6849</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INRA - UMR GABI</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Dürr</dc:creator>
  <cp:lastModifiedBy>julie</cp:lastModifiedBy>
  <cp:revision>11</cp:revision>
  <dcterms:created xsi:type="dcterms:W3CDTF">2015-05-04T08:38:00Z</dcterms:created>
  <dcterms:modified xsi:type="dcterms:W3CDTF">2019-04-16T12:12:00Z</dcterms:modified>
</cp:coreProperties>
</file>